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EC" w:rsidRDefault="003C08EC">
      <w:pPr>
        <w:pStyle w:val="BodyText"/>
        <w:spacing w:before="6"/>
        <w:rPr>
          <w:rFonts w:ascii="Times New Roman"/>
          <w:sz w:val="9"/>
        </w:rPr>
      </w:pPr>
    </w:p>
    <w:p w:rsidR="003C08EC" w:rsidRPr="002968B3" w:rsidRDefault="005842B5" w:rsidP="005842B5">
      <w:pPr>
        <w:pStyle w:val="Heading1"/>
        <w:spacing w:before="93" w:line="480" w:lineRule="auto"/>
        <w:ind w:right="40"/>
        <w:rPr>
          <w:sz w:val="22"/>
          <w:szCs w:val="22"/>
        </w:rPr>
      </w:pPr>
      <w:r w:rsidRPr="002968B3">
        <w:rPr>
          <w:sz w:val="22"/>
          <w:szCs w:val="22"/>
        </w:rPr>
        <w:t>PRESENTATION OF FINANCIAL INFORMATION IN INSOLVENCY PROCEEDINGS INTRODUCTION</w:t>
      </w:r>
    </w:p>
    <w:p w:rsidR="003C08EC" w:rsidRPr="002968B3" w:rsidRDefault="005842B5">
      <w:pPr>
        <w:pStyle w:val="ListParagraph"/>
        <w:numPr>
          <w:ilvl w:val="0"/>
          <w:numId w:val="1"/>
        </w:numPr>
        <w:tabs>
          <w:tab w:val="left" w:pos="537"/>
          <w:tab w:val="left" w:pos="539"/>
        </w:tabs>
        <w:spacing w:before="2"/>
        <w:ind w:hanging="427"/>
      </w:pPr>
      <w:r w:rsidRPr="002968B3">
        <w:t>An office holder is required to report regularly to creditors and other interested</w:t>
      </w:r>
      <w:r w:rsidRPr="002968B3">
        <w:rPr>
          <w:spacing w:val="1"/>
        </w:rPr>
        <w:t xml:space="preserve"> </w:t>
      </w:r>
      <w:r w:rsidRPr="002968B3">
        <w:t>p</w:t>
      </w:r>
      <w:bookmarkStart w:id="0" w:name="_bookmark0"/>
      <w:bookmarkEnd w:id="0"/>
      <w:r w:rsidRPr="002968B3">
        <w:t>arties</w:t>
      </w:r>
      <w:r w:rsidRPr="002968B3">
        <w:rPr>
          <w:position w:val="6"/>
        </w:rPr>
        <w:t>1</w:t>
      </w:r>
      <w:r w:rsidRPr="002968B3">
        <w:t>.</w:t>
      </w:r>
    </w:p>
    <w:p w:rsidR="003C08EC" w:rsidRPr="002968B3" w:rsidRDefault="003C08EC">
      <w:pPr>
        <w:pStyle w:val="BodyText"/>
        <w:spacing w:before="10"/>
        <w:rPr>
          <w:sz w:val="22"/>
          <w:szCs w:val="22"/>
        </w:rPr>
      </w:pPr>
    </w:p>
    <w:p w:rsidR="003C08EC" w:rsidRPr="002968B3" w:rsidRDefault="005842B5">
      <w:pPr>
        <w:pStyle w:val="ListParagraph"/>
        <w:numPr>
          <w:ilvl w:val="0"/>
          <w:numId w:val="1"/>
        </w:numPr>
        <w:tabs>
          <w:tab w:val="left" w:pos="539"/>
        </w:tabs>
        <w:ind w:right="767"/>
      </w:pPr>
      <w:r w:rsidRPr="002968B3">
        <w:t>The particular nature of an insolvency office holder’s position renders transparency and fairness of primary importance in all their</w:t>
      </w:r>
      <w:r w:rsidRPr="002968B3">
        <w:rPr>
          <w:spacing w:val="2"/>
        </w:rPr>
        <w:t xml:space="preserve"> </w:t>
      </w:r>
      <w:r w:rsidRPr="002968B3">
        <w:t>dealings.</w:t>
      </w:r>
    </w:p>
    <w:p w:rsidR="003C08EC" w:rsidRPr="002968B3" w:rsidRDefault="003C08EC">
      <w:pPr>
        <w:pStyle w:val="BodyText"/>
        <w:spacing w:before="1"/>
        <w:rPr>
          <w:sz w:val="22"/>
          <w:szCs w:val="22"/>
        </w:rPr>
      </w:pPr>
    </w:p>
    <w:p w:rsidR="003C08EC" w:rsidRPr="002968B3" w:rsidRDefault="005842B5">
      <w:pPr>
        <w:pStyle w:val="ListParagraph"/>
        <w:numPr>
          <w:ilvl w:val="0"/>
          <w:numId w:val="1"/>
        </w:numPr>
        <w:tabs>
          <w:tab w:val="left" w:pos="539"/>
        </w:tabs>
        <w:ind w:right="761"/>
      </w:pPr>
      <w:r w:rsidRPr="002968B3">
        <w:t>The term associate is defined in insolvency legislation. For the purposes of this statement of insolvency</w:t>
      </w:r>
      <w:r w:rsidRPr="002968B3">
        <w:rPr>
          <w:spacing w:val="-8"/>
        </w:rPr>
        <w:t xml:space="preserve"> </w:t>
      </w:r>
      <w:r w:rsidRPr="002968B3">
        <w:t>practice,</w:t>
      </w:r>
      <w:r w:rsidRPr="002968B3">
        <w:rPr>
          <w:spacing w:val="-6"/>
        </w:rPr>
        <w:t xml:space="preserve"> </w:t>
      </w:r>
      <w:r w:rsidRPr="002968B3">
        <w:t>office</w:t>
      </w:r>
      <w:r w:rsidRPr="002968B3">
        <w:rPr>
          <w:spacing w:val="-8"/>
        </w:rPr>
        <w:t xml:space="preserve"> </w:t>
      </w:r>
      <w:r w:rsidRPr="002968B3">
        <w:t>holders</w:t>
      </w:r>
      <w:r w:rsidRPr="002968B3">
        <w:rPr>
          <w:spacing w:val="-6"/>
        </w:rPr>
        <w:t xml:space="preserve"> </w:t>
      </w:r>
      <w:r w:rsidRPr="002968B3">
        <w:t>should,</w:t>
      </w:r>
      <w:r w:rsidRPr="002968B3">
        <w:rPr>
          <w:spacing w:val="-5"/>
        </w:rPr>
        <w:t xml:space="preserve"> </w:t>
      </w:r>
      <w:r w:rsidRPr="002968B3">
        <w:t>in</w:t>
      </w:r>
      <w:r w:rsidRPr="002968B3">
        <w:rPr>
          <w:spacing w:val="-7"/>
        </w:rPr>
        <w:t xml:space="preserve"> </w:t>
      </w:r>
      <w:r w:rsidRPr="002968B3">
        <w:t>addition</w:t>
      </w:r>
      <w:r w:rsidRPr="002968B3">
        <w:rPr>
          <w:spacing w:val="-6"/>
        </w:rPr>
        <w:t xml:space="preserve"> </w:t>
      </w:r>
      <w:r w:rsidRPr="002968B3">
        <w:t>to</w:t>
      </w:r>
      <w:r w:rsidRPr="002968B3">
        <w:rPr>
          <w:spacing w:val="-6"/>
        </w:rPr>
        <w:t xml:space="preserve"> </w:t>
      </w:r>
      <w:r w:rsidRPr="002968B3">
        <w:t>the</w:t>
      </w:r>
      <w:r w:rsidRPr="002968B3">
        <w:rPr>
          <w:spacing w:val="-6"/>
        </w:rPr>
        <w:t xml:space="preserve"> </w:t>
      </w:r>
      <w:r w:rsidRPr="002968B3">
        <w:t>definition</w:t>
      </w:r>
      <w:r w:rsidRPr="002968B3">
        <w:rPr>
          <w:spacing w:val="-7"/>
        </w:rPr>
        <w:t xml:space="preserve"> </w:t>
      </w:r>
      <w:r w:rsidRPr="002968B3">
        <w:t>in</w:t>
      </w:r>
      <w:r w:rsidRPr="002968B3">
        <w:rPr>
          <w:spacing w:val="-6"/>
        </w:rPr>
        <w:t xml:space="preserve"> </w:t>
      </w:r>
      <w:r w:rsidRPr="002968B3">
        <w:t>the</w:t>
      </w:r>
      <w:r w:rsidRPr="002968B3">
        <w:rPr>
          <w:spacing w:val="-6"/>
        </w:rPr>
        <w:t xml:space="preserve"> </w:t>
      </w:r>
      <w:r w:rsidRPr="002968B3">
        <w:t>insolvency</w:t>
      </w:r>
      <w:r w:rsidRPr="002968B3">
        <w:rPr>
          <w:spacing w:val="-7"/>
        </w:rPr>
        <w:t xml:space="preserve"> </w:t>
      </w:r>
      <w:r w:rsidRPr="002968B3">
        <w:t>legislation, consider</w:t>
      </w:r>
      <w:r w:rsidRPr="002968B3">
        <w:rPr>
          <w:spacing w:val="-13"/>
        </w:rPr>
        <w:t xml:space="preserve"> </w:t>
      </w:r>
      <w:r w:rsidRPr="002968B3">
        <w:t>the</w:t>
      </w:r>
      <w:r w:rsidRPr="002968B3">
        <w:rPr>
          <w:spacing w:val="-13"/>
        </w:rPr>
        <w:t xml:space="preserve"> </w:t>
      </w:r>
      <w:r w:rsidRPr="002968B3">
        <w:t>substance</w:t>
      </w:r>
      <w:r w:rsidRPr="002968B3">
        <w:rPr>
          <w:spacing w:val="-11"/>
        </w:rPr>
        <w:t xml:space="preserve"> </w:t>
      </w:r>
      <w:r w:rsidRPr="002968B3">
        <w:t>or</w:t>
      </w:r>
      <w:r w:rsidRPr="002968B3">
        <w:rPr>
          <w:spacing w:val="-12"/>
        </w:rPr>
        <w:t xml:space="preserve"> </w:t>
      </w:r>
      <w:r w:rsidRPr="002968B3">
        <w:t>likely</w:t>
      </w:r>
      <w:r w:rsidRPr="002968B3">
        <w:rPr>
          <w:spacing w:val="-12"/>
        </w:rPr>
        <w:t xml:space="preserve"> </w:t>
      </w:r>
      <w:r w:rsidRPr="002968B3">
        <w:t>perception</w:t>
      </w:r>
      <w:r w:rsidRPr="002968B3">
        <w:rPr>
          <w:spacing w:val="-13"/>
        </w:rPr>
        <w:t xml:space="preserve"> </w:t>
      </w:r>
      <w:r w:rsidRPr="002968B3">
        <w:t>of</w:t>
      </w:r>
      <w:r w:rsidRPr="002968B3">
        <w:rPr>
          <w:spacing w:val="-13"/>
        </w:rPr>
        <w:t xml:space="preserve"> </w:t>
      </w:r>
      <w:r w:rsidRPr="002968B3">
        <w:t>any</w:t>
      </w:r>
      <w:r w:rsidRPr="002968B3">
        <w:rPr>
          <w:spacing w:val="-12"/>
        </w:rPr>
        <w:t xml:space="preserve"> </w:t>
      </w:r>
      <w:r w:rsidRPr="002968B3">
        <w:t>association</w:t>
      </w:r>
      <w:r w:rsidRPr="002968B3">
        <w:rPr>
          <w:spacing w:val="-13"/>
        </w:rPr>
        <w:t xml:space="preserve"> </w:t>
      </w:r>
      <w:r w:rsidRPr="002968B3">
        <w:t>between</w:t>
      </w:r>
      <w:r w:rsidRPr="002968B3">
        <w:rPr>
          <w:spacing w:val="-13"/>
        </w:rPr>
        <w:t xml:space="preserve"> </w:t>
      </w:r>
      <w:r w:rsidRPr="002968B3">
        <w:t>the</w:t>
      </w:r>
      <w:r w:rsidRPr="002968B3">
        <w:rPr>
          <w:spacing w:val="-14"/>
        </w:rPr>
        <w:t xml:space="preserve"> </w:t>
      </w:r>
      <w:r w:rsidRPr="002968B3">
        <w:t>insolvency</w:t>
      </w:r>
      <w:r w:rsidRPr="002968B3">
        <w:rPr>
          <w:spacing w:val="-11"/>
        </w:rPr>
        <w:t xml:space="preserve"> </w:t>
      </w:r>
      <w:r w:rsidRPr="002968B3">
        <w:t>practitioner, their firm, or an individual within the insolvency practitioner’s firm and the recipient of a payment. Where a reasonable and informed third party might consider there would be an association, payments</w:t>
      </w:r>
      <w:r w:rsidRPr="002968B3">
        <w:rPr>
          <w:spacing w:val="-7"/>
        </w:rPr>
        <w:t xml:space="preserve"> </w:t>
      </w:r>
      <w:r w:rsidRPr="002968B3">
        <w:t>should</w:t>
      </w:r>
      <w:r w:rsidRPr="002968B3">
        <w:rPr>
          <w:spacing w:val="-8"/>
        </w:rPr>
        <w:t xml:space="preserve"> </w:t>
      </w:r>
      <w:r w:rsidRPr="002968B3">
        <w:t>be</w:t>
      </w:r>
      <w:r w:rsidRPr="002968B3">
        <w:rPr>
          <w:spacing w:val="-7"/>
        </w:rPr>
        <w:t xml:space="preserve"> </w:t>
      </w:r>
      <w:r w:rsidRPr="002968B3">
        <w:t>treated</w:t>
      </w:r>
      <w:r w:rsidRPr="002968B3">
        <w:rPr>
          <w:spacing w:val="-6"/>
        </w:rPr>
        <w:t xml:space="preserve"> </w:t>
      </w:r>
      <w:r w:rsidRPr="002968B3">
        <w:t>as</w:t>
      </w:r>
      <w:r w:rsidRPr="002968B3">
        <w:rPr>
          <w:spacing w:val="-6"/>
        </w:rPr>
        <w:t xml:space="preserve"> </w:t>
      </w:r>
      <w:r w:rsidRPr="002968B3">
        <w:t>if</w:t>
      </w:r>
      <w:r w:rsidRPr="002968B3">
        <w:rPr>
          <w:spacing w:val="-8"/>
        </w:rPr>
        <w:t xml:space="preserve"> </w:t>
      </w:r>
      <w:r w:rsidRPr="002968B3">
        <w:t>they</w:t>
      </w:r>
      <w:r w:rsidRPr="002968B3">
        <w:rPr>
          <w:spacing w:val="-6"/>
        </w:rPr>
        <w:t xml:space="preserve"> </w:t>
      </w:r>
      <w:r w:rsidRPr="002968B3">
        <w:t>are</w:t>
      </w:r>
      <w:r w:rsidRPr="002968B3">
        <w:rPr>
          <w:spacing w:val="-5"/>
        </w:rPr>
        <w:t xml:space="preserve"> </w:t>
      </w:r>
      <w:r w:rsidRPr="002968B3">
        <w:t>being</w:t>
      </w:r>
      <w:r w:rsidRPr="002968B3">
        <w:rPr>
          <w:spacing w:val="-8"/>
        </w:rPr>
        <w:t xml:space="preserve"> </w:t>
      </w:r>
      <w:r w:rsidRPr="002968B3">
        <w:t>made</w:t>
      </w:r>
      <w:r w:rsidRPr="002968B3">
        <w:rPr>
          <w:spacing w:val="-7"/>
        </w:rPr>
        <w:t xml:space="preserve"> </w:t>
      </w:r>
      <w:r w:rsidRPr="002968B3">
        <w:t>to</w:t>
      </w:r>
      <w:r w:rsidRPr="002968B3">
        <w:rPr>
          <w:spacing w:val="-8"/>
        </w:rPr>
        <w:t xml:space="preserve"> </w:t>
      </w:r>
      <w:r w:rsidRPr="002968B3">
        <w:t>an</w:t>
      </w:r>
      <w:r w:rsidRPr="002968B3">
        <w:rPr>
          <w:spacing w:val="-7"/>
        </w:rPr>
        <w:t xml:space="preserve"> </w:t>
      </w:r>
      <w:r w:rsidRPr="002968B3">
        <w:t>associate,</w:t>
      </w:r>
      <w:r w:rsidRPr="002968B3">
        <w:rPr>
          <w:spacing w:val="-8"/>
        </w:rPr>
        <w:t xml:space="preserve"> </w:t>
      </w:r>
      <w:r w:rsidRPr="002968B3">
        <w:t>notwithstanding</w:t>
      </w:r>
      <w:r w:rsidRPr="002968B3">
        <w:rPr>
          <w:spacing w:val="-7"/>
        </w:rPr>
        <w:t xml:space="preserve"> </w:t>
      </w:r>
      <w:r w:rsidRPr="002968B3">
        <w:t>the</w:t>
      </w:r>
      <w:r w:rsidRPr="002968B3">
        <w:rPr>
          <w:spacing w:val="-6"/>
        </w:rPr>
        <w:t xml:space="preserve"> </w:t>
      </w:r>
      <w:r w:rsidRPr="002968B3">
        <w:t>nature of the association may not meet the definition in the</w:t>
      </w:r>
      <w:r w:rsidRPr="002968B3">
        <w:rPr>
          <w:spacing w:val="-8"/>
        </w:rPr>
        <w:t xml:space="preserve"> </w:t>
      </w:r>
      <w:r w:rsidRPr="002968B3">
        <w:t>legislation.</w:t>
      </w:r>
    </w:p>
    <w:p w:rsidR="003C08EC" w:rsidRPr="002968B3" w:rsidRDefault="003C08EC">
      <w:pPr>
        <w:pStyle w:val="BodyText"/>
        <w:spacing w:before="11"/>
        <w:rPr>
          <w:sz w:val="22"/>
          <w:szCs w:val="22"/>
        </w:rPr>
      </w:pPr>
    </w:p>
    <w:p w:rsidR="003C08EC" w:rsidRPr="002968B3" w:rsidRDefault="005842B5">
      <w:pPr>
        <w:pStyle w:val="Heading1"/>
        <w:rPr>
          <w:sz w:val="22"/>
          <w:szCs w:val="22"/>
        </w:rPr>
      </w:pPr>
      <w:r w:rsidRPr="002968B3">
        <w:rPr>
          <w:sz w:val="22"/>
          <w:szCs w:val="22"/>
        </w:rPr>
        <w:t>PRINCIPLES</w:t>
      </w:r>
    </w:p>
    <w:p w:rsidR="003C08EC" w:rsidRPr="002968B3" w:rsidRDefault="003C08EC">
      <w:pPr>
        <w:pStyle w:val="BodyText"/>
        <w:rPr>
          <w:b/>
          <w:sz w:val="22"/>
          <w:szCs w:val="22"/>
        </w:rPr>
      </w:pPr>
    </w:p>
    <w:p w:rsidR="003C08EC" w:rsidRPr="002968B3" w:rsidRDefault="005842B5">
      <w:pPr>
        <w:pStyle w:val="ListParagraph"/>
        <w:numPr>
          <w:ilvl w:val="0"/>
          <w:numId w:val="1"/>
        </w:numPr>
        <w:tabs>
          <w:tab w:val="left" w:pos="539"/>
        </w:tabs>
        <w:spacing w:before="1"/>
        <w:ind w:right="758"/>
      </w:pPr>
      <w:r w:rsidRPr="002968B3">
        <w:t>Reports should be relevant to the interests of the creditors and other interested parties</w:t>
      </w:r>
      <w:r w:rsidRPr="002968B3">
        <w:rPr>
          <w:position w:val="6"/>
        </w:rPr>
        <w:t>1</w:t>
      </w:r>
      <w:r w:rsidRPr="002968B3">
        <w:t>, be clear and informative, be consistent across periods and be sufficient to enable creditors and other interested</w:t>
      </w:r>
      <w:r w:rsidRPr="002968B3">
        <w:rPr>
          <w:spacing w:val="-11"/>
        </w:rPr>
        <w:t xml:space="preserve"> </w:t>
      </w:r>
      <w:r w:rsidRPr="002968B3">
        <w:t>parties</w:t>
      </w:r>
      <w:r w:rsidRPr="002968B3">
        <w:rPr>
          <w:position w:val="6"/>
        </w:rPr>
        <w:t>1</w:t>
      </w:r>
      <w:r w:rsidRPr="002968B3">
        <w:rPr>
          <w:spacing w:val="9"/>
          <w:position w:val="6"/>
        </w:rPr>
        <w:t xml:space="preserve"> </w:t>
      </w:r>
      <w:r w:rsidRPr="002968B3">
        <w:t>to</w:t>
      </w:r>
      <w:r w:rsidRPr="002968B3">
        <w:rPr>
          <w:spacing w:val="-10"/>
        </w:rPr>
        <w:t xml:space="preserve"> </w:t>
      </w:r>
      <w:r w:rsidRPr="002968B3">
        <w:t>understand</w:t>
      </w:r>
      <w:r w:rsidRPr="002968B3">
        <w:rPr>
          <w:spacing w:val="-10"/>
        </w:rPr>
        <w:t xml:space="preserve"> </w:t>
      </w:r>
      <w:r w:rsidRPr="002968B3">
        <w:t>the</w:t>
      </w:r>
      <w:r w:rsidRPr="002968B3">
        <w:rPr>
          <w:spacing w:val="-10"/>
        </w:rPr>
        <w:t xml:space="preserve"> </w:t>
      </w:r>
      <w:r w:rsidRPr="002968B3">
        <w:t>nature</w:t>
      </w:r>
      <w:r w:rsidRPr="002968B3">
        <w:rPr>
          <w:spacing w:val="-11"/>
        </w:rPr>
        <w:t xml:space="preserve"> </w:t>
      </w:r>
      <w:r w:rsidRPr="002968B3">
        <w:t>and</w:t>
      </w:r>
      <w:r w:rsidRPr="002968B3">
        <w:rPr>
          <w:spacing w:val="-10"/>
        </w:rPr>
        <w:t xml:space="preserve"> </w:t>
      </w:r>
      <w:r w:rsidRPr="002968B3">
        <w:t>amounts</w:t>
      </w:r>
      <w:r w:rsidRPr="002968B3">
        <w:rPr>
          <w:spacing w:val="-12"/>
        </w:rPr>
        <w:t xml:space="preserve"> </w:t>
      </w:r>
      <w:r w:rsidRPr="002968B3">
        <w:t>of</w:t>
      </w:r>
      <w:r w:rsidRPr="002968B3">
        <w:rPr>
          <w:spacing w:val="-10"/>
        </w:rPr>
        <w:t xml:space="preserve"> </w:t>
      </w:r>
      <w:r w:rsidRPr="002968B3">
        <w:t>the</w:t>
      </w:r>
      <w:r w:rsidRPr="002968B3">
        <w:rPr>
          <w:spacing w:val="-13"/>
        </w:rPr>
        <w:t xml:space="preserve"> </w:t>
      </w:r>
      <w:r w:rsidRPr="002968B3">
        <w:t>receipts</w:t>
      </w:r>
      <w:r w:rsidRPr="002968B3">
        <w:rPr>
          <w:spacing w:val="-9"/>
        </w:rPr>
        <w:t xml:space="preserve"> </w:t>
      </w:r>
      <w:r w:rsidRPr="002968B3">
        <w:t>and</w:t>
      </w:r>
      <w:r w:rsidRPr="002968B3">
        <w:rPr>
          <w:spacing w:val="-10"/>
        </w:rPr>
        <w:t xml:space="preserve"> </w:t>
      </w:r>
      <w:r w:rsidRPr="002968B3">
        <w:t>payments.</w:t>
      </w:r>
      <w:r w:rsidRPr="002968B3">
        <w:rPr>
          <w:spacing w:val="-9"/>
        </w:rPr>
        <w:t xml:space="preserve"> </w:t>
      </w:r>
      <w:r w:rsidRPr="002968B3">
        <w:t>The</w:t>
      </w:r>
      <w:r w:rsidRPr="002968B3">
        <w:rPr>
          <w:spacing w:val="-11"/>
        </w:rPr>
        <w:t xml:space="preserve"> </w:t>
      </w:r>
      <w:r w:rsidRPr="002968B3">
        <w:t>office holder should consider what the creditors and other interested parties</w:t>
      </w:r>
      <w:r w:rsidRPr="002968B3">
        <w:rPr>
          <w:position w:val="6"/>
        </w:rPr>
        <w:t xml:space="preserve">1 </w:t>
      </w:r>
      <w:r w:rsidRPr="002968B3">
        <w:t>might reasonably regard as appropriate or significant in the circumstances of each insolvency appointment, whilst being proportionate to the insolvency</w:t>
      </w:r>
      <w:r w:rsidRPr="002968B3">
        <w:rPr>
          <w:spacing w:val="-4"/>
        </w:rPr>
        <w:t xml:space="preserve"> </w:t>
      </w:r>
      <w:r w:rsidRPr="002968B3">
        <w:t>appointment.</w:t>
      </w:r>
    </w:p>
    <w:p w:rsidR="003C08EC" w:rsidRPr="002968B3" w:rsidRDefault="003C08EC">
      <w:pPr>
        <w:pStyle w:val="BodyText"/>
        <w:rPr>
          <w:sz w:val="22"/>
          <w:szCs w:val="22"/>
        </w:rPr>
      </w:pPr>
    </w:p>
    <w:p w:rsidR="003C08EC" w:rsidRPr="002968B3" w:rsidRDefault="005842B5">
      <w:pPr>
        <w:pStyle w:val="ListParagraph"/>
        <w:numPr>
          <w:ilvl w:val="0"/>
          <w:numId w:val="1"/>
        </w:numPr>
        <w:tabs>
          <w:tab w:val="left" w:pos="539"/>
        </w:tabs>
        <w:ind w:right="760"/>
      </w:pPr>
      <w:r w:rsidRPr="002968B3">
        <w:t>Payments made by an office holder should be fair and reasonable and proportionate to the insolvency appointment, and if significant in the context of the insolvency appointment, the office holder should report and explain why the expenditure was incurred.</w:t>
      </w:r>
    </w:p>
    <w:p w:rsidR="003C08EC" w:rsidRPr="002968B3" w:rsidRDefault="003C08EC">
      <w:pPr>
        <w:pStyle w:val="BodyText"/>
        <w:spacing w:before="10"/>
        <w:rPr>
          <w:sz w:val="22"/>
          <w:szCs w:val="22"/>
        </w:rPr>
      </w:pPr>
    </w:p>
    <w:p w:rsidR="003C08EC" w:rsidRPr="002968B3" w:rsidRDefault="005842B5">
      <w:pPr>
        <w:pStyle w:val="ListParagraph"/>
        <w:numPr>
          <w:ilvl w:val="0"/>
          <w:numId w:val="1"/>
        </w:numPr>
        <w:tabs>
          <w:tab w:val="left" w:pos="539"/>
        </w:tabs>
        <w:ind w:right="760"/>
      </w:pPr>
      <w:r w:rsidRPr="002968B3">
        <w:t>An office holder should report in a way that will assist creditors and other interested parties</w:t>
      </w:r>
      <w:r w:rsidRPr="002968B3">
        <w:rPr>
          <w:position w:val="6"/>
        </w:rPr>
        <w:t>1</w:t>
      </w:r>
      <w:r w:rsidRPr="002968B3">
        <w:t xml:space="preserve"> properly to exercise their rights under the insolvency</w:t>
      </w:r>
      <w:r w:rsidRPr="002968B3">
        <w:rPr>
          <w:spacing w:val="3"/>
        </w:rPr>
        <w:t xml:space="preserve"> </w:t>
      </w:r>
      <w:r w:rsidRPr="002968B3">
        <w:t>legislation.</w:t>
      </w:r>
    </w:p>
    <w:p w:rsidR="003C08EC" w:rsidRPr="002968B3" w:rsidRDefault="00366B95">
      <w:pPr>
        <w:pStyle w:val="BodyText"/>
        <w:spacing w:before="7"/>
        <w:rPr>
          <w:sz w:val="22"/>
          <w:szCs w:val="22"/>
        </w:rPr>
      </w:pPr>
      <w:r>
        <w:rPr>
          <w:sz w:val="22"/>
          <w:szCs w:val="22"/>
        </w:rPr>
        <w:pict>
          <v:shape id="_x0000_s1026" style="position:absolute;margin-left:56.65pt;margin-top:18.15pt;width:144.05pt;height:.1pt;z-index:-251658752;mso-wrap-distance-left:0;mso-wrap-distance-right:0;mso-position-horizontal-relative:page" coordorigin="1133,363" coordsize="2881,0" path="m1133,363r2881,e" filled="f" strokeweight=".21169mm">
            <v:path arrowok="t"/>
            <w10:wrap type="topAndBottom" anchorx="page"/>
          </v:shape>
        </w:pict>
      </w:r>
    </w:p>
    <w:p w:rsidR="003C08EC" w:rsidRDefault="005842B5">
      <w:pPr>
        <w:spacing w:before="70"/>
        <w:ind w:left="112" w:right="99"/>
        <w:jc w:val="both"/>
        <w:rPr>
          <w:sz w:val="16"/>
          <w:szCs w:val="16"/>
        </w:rPr>
      </w:pPr>
      <w:r w:rsidRPr="002968B3">
        <w:rPr>
          <w:position w:val="6"/>
          <w:sz w:val="16"/>
          <w:szCs w:val="16"/>
        </w:rPr>
        <w:t xml:space="preserve">1 </w:t>
      </w:r>
      <w:r w:rsidRPr="002968B3">
        <w:rPr>
          <w:sz w:val="16"/>
          <w:szCs w:val="16"/>
        </w:rPr>
        <w:t>“other interested parties” means those parties with rights pursuant to the prevailing insolvency legislation to information about the office holder’s receipts and payments. This may include a creditors’ committee, the members (shareholders) of a company, or in personal insolvency, the</w:t>
      </w:r>
      <w:r w:rsidRPr="002968B3">
        <w:rPr>
          <w:spacing w:val="-4"/>
          <w:sz w:val="16"/>
          <w:szCs w:val="16"/>
        </w:rPr>
        <w:t xml:space="preserve"> </w:t>
      </w:r>
      <w:r w:rsidRPr="002968B3">
        <w:rPr>
          <w:sz w:val="16"/>
          <w:szCs w:val="16"/>
        </w:rPr>
        <w:t>debtor.</w:t>
      </w:r>
    </w:p>
    <w:p w:rsidR="002968B3" w:rsidRDefault="002968B3">
      <w:pPr>
        <w:spacing w:before="70"/>
        <w:ind w:left="112" w:right="99"/>
        <w:jc w:val="both"/>
        <w:rPr>
          <w:sz w:val="16"/>
          <w:szCs w:val="16"/>
        </w:rPr>
      </w:pPr>
    </w:p>
    <w:p w:rsidR="003C08EC" w:rsidRDefault="003C08EC">
      <w:pPr>
        <w:pStyle w:val="BodyText"/>
        <w:spacing w:before="6"/>
        <w:rPr>
          <w:sz w:val="22"/>
          <w:szCs w:val="22"/>
        </w:rPr>
      </w:pPr>
    </w:p>
    <w:p w:rsidR="00366B95" w:rsidRPr="002968B3" w:rsidRDefault="00366B95" w:rsidP="00366B95">
      <w:pPr>
        <w:pStyle w:val="BodyText"/>
        <w:spacing w:before="1"/>
        <w:rPr>
          <w:sz w:val="22"/>
          <w:szCs w:val="22"/>
        </w:rPr>
      </w:pPr>
    </w:p>
    <w:p w:rsidR="00366B95" w:rsidRPr="002968B3" w:rsidRDefault="00366B95" w:rsidP="00366B95">
      <w:pPr>
        <w:pStyle w:val="Heading1"/>
        <w:spacing w:before="1"/>
        <w:rPr>
          <w:sz w:val="22"/>
          <w:szCs w:val="22"/>
        </w:rPr>
      </w:pPr>
      <w:r w:rsidRPr="002968B3">
        <w:rPr>
          <w:sz w:val="22"/>
          <w:szCs w:val="22"/>
        </w:rPr>
        <w:t>KEY COMPLIANCE STANDARDS</w:t>
      </w:r>
    </w:p>
    <w:p w:rsidR="00366B95" w:rsidRPr="002968B3" w:rsidRDefault="00366B95" w:rsidP="00366B95">
      <w:pPr>
        <w:spacing w:before="156"/>
        <w:ind w:left="112"/>
        <w:rPr>
          <w:b/>
        </w:rPr>
      </w:pPr>
      <w:r w:rsidRPr="002968B3">
        <w:rPr>
          <w:b/>
        </w:rPr>
        <w:t>Form and general presentation of accounts</w:t>
      </w:r>
    </w:p>
    <w:p w:rsidR="00366B95" w:rsidRPr="002968B3" w:rsidRDefault="00366B95" w:rsidP="00366B95">
      <w:pPr>
        <w:pStyle w:val="BodyText"/>
        <w:spacing w:before="1"/>
        <w:rPr>
          <w:b/>
          <w:sz w:val="22"/>
          <w:szCs w:val="22"/>
        </w:rPr>
      </w:pPr>
    </w:p>
    <w:p w:rsidR="00366B95" w:rsidRPr="002968B3" w:rsidRDefault="00366B95" w:rsidP="00366B95">
      <w:pPr>
        <w:pStyle w:val="ListParagraph"/>
        <w:numPr>
          <w:ilvl w:val="0"/>
          <w:numId w:val="1"/>
        </w:numPr>
        <w:tabs>
          <w:tab w:val="left" w:pos="539"/>
        </w:tabs>
        <w:ind w:right="766"/>
      </w:pPr>
      <w:r w:rsidRPr="002968B3">
        <w:t>In addition to any statutory requirement to provide an account in a specified form, receipts and payments accounts should provide figures both for the period under review and on a cumulative basis.</w:t>
      </w:r>
    </w:p>
    <w:p w:rsidR="00366B95" w:rsidRPr="002968B3" w:rsidRDefault="00366B95" w:rsidP="00366B95">
      <w:pPr>
        <w:pStyle w:val="BodyText"/>
        <w:rPr>
          <w:sz w:val="22"/>
          <w:szCs w:val="22"/>
        </w:rPr>
      </w:pPr>
    </w:p>
    <w:p w:rsidR="00366B95" w:rsidRPr="002968B3" w:rsidRDefault="00366B95" w:rsidP="00366B95">
      <w:pPr>
        <w:pStyle w:val="ListParagraph"/>
        <w:numPr>
          <w:ilvl w:val="0"/>
          <w:numId w:val="1"/>
        </w:numPr>
        <w:tabs>
          <w:tab w:val="left" w:pos="539"/>
        </w:tabs>
        <w:ind w:right="758"/>
      </w:pPr>
      <w:r w:rsidRPr="002968B3">
        <w:t>Information provided in accordance with this statement may be in a separate document issued with</w:t>
      </w:r>
      <w:r w:rsidRPr="002968B3">
        <w:rPr>
          <w:spacing w:val="-13"/>
        </w:rPr>
        <w:t xml:space="preserve"> </w:t>
      </w:r>
      <w:r w:rsidRPr="002968B3">
        <w:t>the</w:t>
      </w:r>
      <w:r w:rsidRPr="002968B3">
        <w:rPr>
          <w:spacing w:val="-16"/>
        </w:rPr>
        <w:t xml:space="preserve"> </w:t>
      </w:r>
      <w:r w:rsidRPr="002968B3">
        <w:t>receipts</w:t>
      </w:r>
      <w:r w:rsidRPr="002968B3">
        <w:rPr>
          <w:spacing w:val="-13"/>
        </w:rPr>
        <w:t xml:space="preserve"> </w:t>
      </w:r>
      <w:r w:rsidRPr="002968B3">
        <w:t>and</w:t>
      </w:r>
      <w:r w:rsidRPr="002968B3">
        <w:rPr>
          <w:spacing w:val="-13"/>
        </w:rPr>
        <w:t xml:space="preserve"> </w:t>
      </w:r>
      <w:r w:rsidRPr="002968B3">
        <w:t>payments</w:t>
      </w:r>
      <w:r w:rsidRPr="002968B3">
        <w:rPr>
          <w:spacing w:val="-13"/>
        </w:rPr>
        <w:t xml:space="preserve"> </w:t>
      </w:r>
      <w:r w:rsidRPr="002968B3">
        <w:t>account</w:t>
      </w:r>
      <w:r w:rsidRPr="002968B3">
        <w:rPr>
          <w:spacing w:val="-13"/>
        </w:rPr>
        <w:t xml:space="preserve"> </w:t>
      </w:r>
      <w:r w:rsidRPr="002968B3">
        <w:t>or</w:t>
      </w:r>
      <w:r w:rsidRPr="002968B3">
        <w:rPr>
          <w:spacing w:val="-14"/>
        </w:rPr>
        <w:t xml:space="preserve"> </w:t>
      </w:r>
      <w:r w:rsidRPr="002968B3">
        <w:t>given</w:t>
      </w:r>
      <w:r w:rsidRPr="002968B3">
        <w:rPr>
          <w:spacing w:val="-15"/>
        </w:rPr>
        <w:t xml:space="preserve"> </w:t>
      </w:r>
      <w:r w:rsidRPr="002968B3">
        <w:t>by</w:t>
      </w:r>
      <w:r w:rsidRPr="002968B3">
        <w:rPr>
          <w:spacing w:val="-12"/>
        </w:rPr>
        <w:t xml:space="preserve"> </w:t>
      </w:r>
      <w:r w:rsidRPr="002968B3">
        <w:t>way</w:t>
      </w:r>
      <w:r w:rsidRPr="002968B3">
        <w:rPr>
          <w:spacing w:val="-11"/>
        </w:rPr>
        <w:t xml:space="preserve"> </w:t>
      </w:r>
      <w:r w:rsidRPr="002968B3">
        <w:t>of</w:t>
      </w:r>
      <w:r w:rsidRPr="002968B3">
        <w:rPr>
          <w:spacing w:val="-15"/>
        </w:rPr>
        <w:t xml:space="preserve"> </w:t>
      </w:r>
      <w:r w:rsidRPr="002968B3">
        <w:t>note.</w:t>
      </w:r>
      <w:r w:rsidRPr="002968B3">
        <w:rPr>
          <w:spacing w:val="-15"/>
        </w:rPr>
        <w:t xml:space="preserve"> </w:t>
      </w:r>
      <w:r w:rsidRPr="002968B3">
        <w:t>Unless</w:t>
      </w:r>
      <w:r w:rsidRPr="002968B3">
        <w:rPr>
          <w:spacing w:val="-14"/>
        </w:rPr>
        <w:t xml:space="preserve"> </w:t>
      </w:r>
      <w:r w:rsidRPr="002968B3">
        <w:t>there</w:t>
      </w:r>
      <w:r w:rsidRPr="002968B3">
        <w:rPr>
          <w:spacing w:val="-13"/>
        </w:rPr>
        <w:t xml:space="preserve"> </w:t>
      </w:r>
      <w:r w:rsidRPr="002968B3">
        <w:t>is</w:t>
      </w:r>
      <w:r w:rsidRPr="002968B3">
        <w:rPr>
          <w:spacing w:val="-6"/>
        </w:rPr>
        <w:t xml:space="preserve"> </w:t>
      </w:r>
      <w:r w:rsidRPr="002968B3">
        <w:t>statutory</w:t>
      </w:r>
      <w:r w:rsidRPr="002968B3">
        <w:rPr>
          <w:spacing w:val="-14"/>
        </w:rPr>
        <w:t xml:space="preserve"> </w:t>
      </w:r>
      <w:r w:rsidRPr="002968B3">
        <w:t>provision to the contrary, this does not require the repetition of information previously</w:t>
      </w:r>
      <w:r w:rsidRPr="002968B3">
        <w:rPr>
          <w:spacing w:val="-15"/>
        </w:rPr>
        <w:t xml:space="preserve"> </w:t>
      </w:r>
      <w:r w:rsidRPr="002968B3">
        <w:t>provided.</w:t>
      </w:r>
    </w:p>
    <w:p w:rsidR="00366B95" w:rsidRDefault="00366B95" w:rsidP="00366B95">
      <w:pPr>
        <w:pStyle w:val="BodyText"/>
        <w:rPr>
          <w:sz w:val="22"/>
          <w:szCs w:val="22"/>
        </w:rPr>
      </w:pPr>
    </w:p>
    <w:p w:rsidR="00366B95" w:rsidRPr="002968B3" w:rsidRDefault="00366B95" w:rsidP="00366B95">
      <w:pPr>
        <w:pStyle w:val="ListParagraph"/>
        <w:numPr>
          <w:ilvl w:val="0"/>
          <w:numId w:val="1"/>
        </w:numPr>
        <w:tabs>
          <w:tab w:val="left" w:pos="539"/>
        </w:tabs>
        <w:spacing w:before="1"/>
        <w:ind w:right="760"/>
      </w:pPr>
      <w:r w:rsidRPr="002968B3">
        <w:t>Receipts</w:t>
      </w:r>
      <w:r w:rsidRPr="002968B3">
        <w:rPr>
          <w:spacing w:val="-10"/>
        </w:rPr>
        <w:t xml:space="preserve"> </w:t>
      </w:r>
      <w:r w:rsidRPr="002968B3">
        <w:t>and</w:t>
      </w:r>
      <w:r w:rsidRPr="002968B3">
        <w:rPr>
          <w:spacing w:val="-8"/>
        </w:rPr>
        <w:t xml:space="preserve"> </w:t>
      </w:r>
      <w:r w:rsidRPr="002968B3">
        <w:t>payments</w:t>
      </w:r>
      <w:r w:rsidRPr="002968B3">
        <w:rPr>
          <w:spacing w:val="-10"/>
        </w:rPr>
        <w:t xml:space="preserve"> </w:t>
      </w:r>
      <w:r w:rsidRPr="002968B3">
        <w:t>accounts</w:t>
      </w:r>
      <w:r w:rsidRPr="002968B3">
        <w:rPr>
          <w:spacing w:val="-10"/>
        </w:rPr>
        <w:t xml:space="preserve"> </w:t>
      </w:r>
      <w:r w:rsidRPr="002968B3">
        <w:t>should</w:t>
      </w:r>
      <w:r w:rsidRPr="002968B3">
        <w:rPr>
          <w:spacing w:val="-10"/>
        </w:rPr>
        <w:t xml:space="preserve"> </w:t>
      </w:r>
      <w:r w:rsidRPr="002968B3">
        <w:t>show</w:t>
      </w:r>
      <w:r w:rsidRPr="002968B3">
        <w:rPr>
          <w:spacing w:val="-10"/>
        </w:rPr>
        <w:t xml:space="preserve"> </w:t>
      </w:r>
      <w:r w:rsidRPr="002968B3">
        <w:t>categories</w:t>
      </w:r>
      <w:r w:rsidRPr="002968B3">
        <w:rPr>
          <w:spacing w:val="-10"/>
        </w:rPr>
        <w:t xml:space="preserve"> </w:t>
      </w:r>
      <w:r w:rsidRPr="002968B3">
        <w:t>of</w:t>
      </w:r>
      <w:r w:rsidRPr="002968B3">
        <w:rPr>
          <w:spacing w:val="-11"/>
        </w:rPr>
        <w:t xml:space="preserve"> </w:t>
      </w:r>
      <w:r w:rsidRPr="002968B3">
        <w:t>items</w:t>
      </w:r>
      <w:r w:rsidRPr="002968B3">
        <w:rPr>
          <w:spacing w:val="-9"/>
        </w:rPr>
        <w:t xml:space="preserve"> </w:t>
      </w:r>
      <w:r w:rsidRPr="002968B3">
        <w:t>under</w:t>
      </w:r>
      <w:r w:rsidRPr="002968B3">
        <w:rPr>
          <w:spacing w:val="-9"/>
        </w:rPr>
        <w:t xml:space="preserve"> </w:t>
      </w:r>
      <w:r w:rsidRPr="002968B3">
        <w:t>headings</w:t>
      </w:r>
      <w:r w:rsidRPr="002968B3">
        <w:rPr>
          <w:spacing w:val="-7"/>
        </w:rPr>
        <w:t xml:space="preserve"> </w:t>
      </w:r>
      <w:r w:rsidRPr="002968B3">
        <w:t>appropriate</w:t>
      </w:r>
      <w:r w:rsidRPr="002968B3">
        <w:rPr>
          <w:spacing w:val="-7"/>
        </w:rPr>
        <w:t xml:space="preserve"> </w:t>
      </w:r>
      <w:r w:rsidRPr="002968B3">
        <w:t>for the insolvency appointment, where practicable following headings used in prior statements of affairs or estimated outcome statements. An analysis should be provided to enable comparison with the “estimated to realise” figures in any previously issued</w:t>
      </w:r>
      <w:r w:rsidRPr="002968B3">
        <w:rPr>
          <w:spacing w:val="-7"/>
        </w:rPr>
        <w:t xml:space="preserve"> </w:t>
      </w:r>
      <w:r w:rsidRPr="002968B3">
        <w:t>document.</w:t>
      </w:r>
    </w:p>
    <w:p w:rsidR="00366B95" w:rsidRPr="002968B3" w:rsidRDefault="00366B95" w:rsidP="00366B95">
      <w:pPr>
        <w:pStyle w:val="BodyText"/>
        <w:spacing w:before="10"/>
        <w:rPr>
          <w:sz w:val="22"/>
          <w:szCs w:val="22"/>
        </w:rPr>
      </w:pPr>
    </w:p>
    <w:p w:rsidR="00366B95" w:rsidRPr="002968B3" w:rsidRDefault="00366B95" w:rsidP="00366B95">
      <w:pPr>
        <w:pStyle w:val="ListParagraph"/>
        <w:numPr>
          <w:ilvl w:val="0"/>
          <w:numId w:val="1"/>
        </w:numPr>
        <w:tabs>
          <w:tab w:val="left" w:pos="539"/>
        </w:tabs>
        <w:ind w:right="769"/>
      </w:pPr>
      <w:r w:rsidRPr="002968B3">
        <w:t>Certain statutory documents require a “statement of expenses incurred” in the period and should adopt,</w:t>
      </w:r>
      <w:r w:rsidRPr="002968B3">
        <w:rPr>
          <w:spacing w:val="-8"/>
        </w:rPr>
        <w:t xml:space="preserve"> </w:t>
      </w:r>
      <w:r w:rsidRPr="002968B3">
        <w:t>as</w:t>
      </w:r>
      <w:r w:rsidRPr="002968B3">
        <w:rPr>
          <w:spacing w:val="-4"/>
        </w:rPr>
        <w:t xml:space="preserve"> </w:t>
      </w:r>
      <w:r w:rsidRPr="002968B3">
        <w:t>far</w:t>
      </w:r>
      <w:r w:rsidRPr="002968B3">
        <w:rPr>
          <w:spacing w:val="-7"/>
        </w:rPr>
        <w:t xml:space="preserve"> </w:t>
      </w:r>
      <w:r w:rsidRPr="002968B3">
        <w:t>as</w:t>
      </w:r>
      <w:r w:rsidRPr="002968B3">
        <w:rPr>
          <w:spacing w:val="-4"/>
        </w:rPr>
        <w:t xml:space="preserve"> </w:t>
      </w:r>
      <w:r w:rsidRPr="002968B3">
        <w:t>possible,</w:t>
      </w:r>
      <w:r w:rsidRPr="002968B3">
        <w:rPr>
          <w:spacing w:val="-6"/>
        </w:rPr>
        <w:t xml:space="preserve"> </w:t>
      </w:r>
      <w:r w:rsidRPr="002968B3">
        <w:t>the</w:t>
      </w:r>
      <w:r w:rsidRPr="002968B3">
        <w:rPr>
          <w:spacing w:val="-7"/>
        </w:rPr>
        <w:t xml:space="preserve"> </w:t>
      </w:r>
      <w:r w:rsidRPr="002968B3">
        <w:t>principles</w:t>
      </w:r>
      <w:r w:rsidRPr="002968B3">
        <w:rPr>
          <w:spacing w:val="-6"/>
        </w:rPr>
        <w:t xml:space="preserve"> </w:t>
      </w:r>
      <w:r w:rsidRPr="002968B3">
        <w:t>of</w:t>
      </w:r>
      <w:r w:rsidRPr="002968B3">
        <w:rPr>
          <w:spacing w:val="-8"/>
        </w:rPr>
        <w:t xml:space="preserve"> </w:t>
      </w:r>
      <w:r w:rsidRPr="002968B3">
        <w:t>this</w:t>
      </w:r>
      <w:r w:rsidRPr="002968B3">
        <w:rPr>
          <w:spacing w:val="-6"/>
        </w:rPr>
        <w:t xml:space="preserve"> </w:t>
      </w:r>
      <w:r w:rsidRPr="002968B3">
        <w:t>statement</w:t>
      </w:r>
      <w:r w:rsidRPr="002968B3">
        <w:rPr>
          <w:spacing w:val="-7"/>
        </w:rPr>
        <w:t xml:space="preserve"> </w:t>
      </w:r>
      <w:r w:rsidRPr="002968B3">
        <w:t>but</w:t>
      </w:r>
      <w:r w:rsidRPr="002968B3">
        <w:rPr>
          <w:spacing w:val="-8"/>
        </w:rPr>
        <w:t xml:space="preserve"> </w:t>
      </w:r>
      <w:r w:rsidRPr="002968B3">
        <w:t>need</w:t>
      </w:r>
      <w:r w:rsidRPr="002968B3">
        <w:rPr>
          <w:spacing w:val="-5"/>
        </w:rPr>
        <w:t xml:space="preserve"> </w:t>
      </w:r>
      <w:r w:rsidRPr="002968B3">
        <w:t>only</w:t>
      </w:r>
      <w:r w:rsidRPr="002968B3">
        <w:rPr>
          <w:spacing w:val="-7"/>
        </w:rPr>
        <w:t xml:space="preserve"> </w:t>
      </w:r>
      <w:r w:rsidRPr="002968B3">
        <w:t>provide</w:t>
      </w:r>
      <w:r w:rsidRPr="002968B3">
        <w:rPr>
          <w:spacing w:val="-5"/>
        </w:rPr>
        <w:t xml:space="preserve"> </w:t>
      </w:r>
      <w:r w:rsidRPr="002968B3">
        <w:t>information</w:t>
      </w:r>
      <w:r w:rsidRPr="002968B3">
        <w:rPr>
          <w:spacing w:val="-5"/>
        </w:rPr>
        <w:t xml:space="preserve"> </w:t>
      </w:r>
      <w:r w:rsidRPr="002968B3">
        <w:t>for</w:t>
      </w:r>
      <w:r w:rsidRPr="002968B3">
        <w:rPr>
          <w:spacing w:val="-7"/>
        </w:rPr>
        <w:t xml:space="preserve"> </w:t>
      </w:r>
      <w:r w:rsidRPr="002968B3">
        <w:t>the period under</w:t>
      </w:r>
      <w:r w:rsidRPr="002968B3">
        <w:rPr>
          <w:spacing w:val="-2"/>
        </w:rPr>
        <w:t xml:space="preserve"> </w:t>
      </w:r>
      <w:r w:rsidRPr="002968B3">
        <w:t>review.</w:t>
      </w:r>
    </w:p>
    <w:p w:rsidR="00366B95" w:rsidRPr="002968B3" w:rsidRDefault="00366B95">
      <w:pPr>
        <w:pStyle w:val="BodyText"/>
        <w:spacing w:before="6"/>
        <w:rPr>
          <w:sz w:val="22"/>
          <w:szCs w:val="22"/>
        </w:rPr>
      </w:pPr>
    </w:p>
    <w:p w:rsidR="003C08EC" w:rsidRPr="002968B3" w:rsidRDefault="005842B5">
      <w:pPr>
        <w:pStyle w:val="ListParagraph"/>
        <w:numPr>
          <w:ilvl w:val="0"/>
          <w:numId w:val="1"/>
        </w:numPr>
        <w:tabs>
          <w:tab w:val="left" w:pos="539"/>
        </w:tabs>
        <w:spacing w:before="93"/>
        <w:ind w:right="769"/>
      </w:pPr>
      <w:r w:rsidRPr="002968B3">
        <w:t>Accounts</w:t>
      </w:r>
      <w:r w:rsidRPr="002968B3">
        <w:rPr>
          <w:spacing w:val="-7"/>
        </w:rPr>
        <w:t xml:space="preserve"> </w:t>
      </w:r>
      <w:r w:rsidRPr="002968B3">
        <w:t>should</w:t>
      </w:r>
      <w:r w:rsidRPr="002968B3">
        <w:rPr>
          <w:spacing w:val="-5"/>
        </w:rPr>
        <w:t xml:space="preserve"> </w:t>
      </w:r>
      <w:r w:rsidRPr="002968B3">
        <w:t>be</w:t>
      </w:r>
      <w:r w:rsidRPr="002968B3">
        <w:rPr>
          <w:spacing w:val="-8"/>
        </w:rPr>
        <w:t xml:space="preserve"> </w:t>
      </w:r>
      <w:r w:rsidRPr="002968B3">
        <w:t>reconciled</w:t>
      </w:r>
      <w:r w:rsidRPr="002968B3">
        <w:rPr>
          <w:spacing w:val="-7"/>
        </w:rPr>
        <w:t xml:space="preserve"> </w:t>
      </w:r>
      <w:r w:rsidRPr="002968B3">
        <w:t>to</w:t>
      </w:r>
      <w:r w:rsidRPr="002968B3">
        <w:rPr>
          <w:spacing w:val="-7"/>
        </w:rPr>
        <w:t xml:space="preserve"> </w:t>
      </w:r>
      <w:r w:rsidRPr="002968B3">
        <w:t>the</w:t>
      </w:r>
      <w:r w:rsidRPr="002968B3">
        <w:rPr>
          <w:spacing w:val="-8"/>
        </w:rPr>
        <w:t xml:space="preserve"> </w:t>
      </w:r>
      <w:r w:rsidRPr="002968B3">
        <w:t>balances</w:t>
      </w:r>
      <w:r w:rsidRPr="002968B3">
        <w:rPr>
          <w:spacing w:val="-6"/>
        </w:rPr>
        <w:t xml:space="preserve"> </w:t>
      </w:r>
      <w:r w:rsidRPr="002968B3">
        <w:t>at</w:t>
      </w:r>
      <w:r w:rsidRPr="002968B3">
        <w:rPr>
          <w:spacing w:val="-7"/>
        </w:rPr>
        <w:t xml:space="preserve"> </w:t>
      </w:r>
      <w:r w:rsidRPr="002968B3">
        <w:t>bank,</w:t>
      </w:r>
      <w:r w:rsidRPr="002968B3">
        <w:rPr>
          <w:spacing w:val="-6"/>
        </w:rPr>
        <w:t xml:space="preserve"> </w:t>
      </w:r>
      <w:r w:rsidRPr="002968B3">
        <w:t>the</w:t>
      </w:r>
      <w:r w:rsidRPr="002968B3">
        <w:rPr>
          <w:spacing w:val="-7"/>
        </w:rPr>
        <w:t xml:space="preserve"> </w:t>
      </w:r>
      <w:r w:rsidRPr="002968B3">
        <w:t>case</w:t>
      </w:r>
      <w:r w:rsidRPr="002968B3">
        <w:rPr>
          <w:spacing w:val="-7"/>
        </w:rPr>
        <w:t xml:space="preserve"> </w:t>
      </w:r>
      <w:r w:rsidRPr="002968B3">
        <w:t>records</w:t>
      </w:r>
      <w:r w:rsidRPr="002968B3">
        <w:rPr>
          <w:spacing w:val="-6"/>
        </w:rPr>
        <w:t xml:space="preserve"> </w:t>
      </w:r>
      <w:r w:rsidRPr="002968B3">
        <w:t>and</w:t>
      </w:r>
      <w:r w:rsidRPr="002968B3">
        <w:rPr>
          <w:spacing w:val="-7"/>
        </w:rPr>
        <w:t xml:space="preserve"> </w:t>
      </w:r>
      <w:r w:rsidRPr="002968B3">
        <w:t>to</w:t>
      </w:r>
      <w:r w:rsidRPr="002968B3">
        <w:rPr>
          <w:spacing w:val="-7"/>
        </w:rPr>
        <w:t xml:space="preserve"> </w:t>
      </w:r>
      <w:r w:rsidRPr="002968B3">
        <w:t>any</w:t>
      </w:r>
      <w:r w:rsidRPr="002968B3">
        <w:rPr>
          <w:spacing w:val="-7"/>
        </w:rPr>
        <w:t xml:space="preserve"> </w:t>
      </w:r>
      <w:r w:rsidRPr="002968B3">
        <w:t>amounts</w:t>
      </w:r>
      <w:r w:rsidRPr="002968B3">
        <w:rPr>
          <w:spacing w:val="-6"/>
        </w:rPr>
        <w:t xml:space="preserve"> </w:t>
      </w:r>
      <w:r w:rsidRPr="002968B3">
        <w:t>due to the office</w:t>
      </w:r>
      <w:r w:rsidRPr="002968B3">
        <w:rPr>
          <w:spacing w:val="-4"/>
        </w:rPr>
        <w:t xml:space="preserve"> </w:t>
      </w:r>
      <w:r w:rsidRPr="002968B3">
        <w:t>holder.</w:t>
      </w:r>
    </w:p>
    <w:p w:rsidR="003C08EC" w:rsidRPr="002968B3" w:rsidRDefault="003C08EC">
      <w:pPr>
        <w:pStyle w:val="BodyText"/>
        <w:spacing w:before="1"/>
        <w:rPr>
          <w:sz w:val="22"/>
          <w:szCs w:val="22"/>
        </w:rPr>
      </w:pPr>
    </w:p>
    <w:p w:rsidR="003C08EC" w:rsidRPr="002968B3" w:rsidRDefault="005842B5">
      <w:pPr>
        <w:pStyle w:val="ListParagraph"/>
        <w:numPr>
          <w:ilvl w:val="0"/>
          <w:numId w:val="1"/>
        </w:numPr>
        <w:tabs>
          <w:tab w:val="left" w:pos="539"/>
        </w:tabs>
        <w:ind w:right="768"/>
      </w:pPr>
      <w:r w:rsidRPr="002968B3">
        <w:t>Disclosure should be made of where the balance of the funds is held, distinguishing between funds held on non-interest bearing accounts and interest bearing accounts in the office holder’s or</w:t>
      </w:r>
      <w:r w:rsidRPr="002968B3">
        <w:rPr>
          <w:spacing w:val="-5"/>
        </w:rPr>
        <w:t xml:space="preserve"> </w:t>
      </w:r>
      <w:r w:rsidRPr="002968B3">
        <w:t>the</w:t>
      </w:r>
      <w:r w:rsidRPr="002968B3">
        <w:rPr>
          <w:spacing w:val="-5"/>
        </w:rPr>
        <w:t xml:space="preserve"> </w:t>
      </w:r>
      <w:r w:rsidRPr="002968B3">
        <w:t>insolvent</w:t>
      </w:r>
      <w:r w:rsidRPr="002968B3">
        <w:rPr>
          <w:spacing w:val="-3"/>
        </w:rPr>
        <w:t xml:space="preserve"> </w:t>
      </w:r>
      <w:r w:rsidRPr="002968B3">
        <w:t>estate’s</w:t>
      </w:r>
      <w:r w:rsidRPr="002968B3">
        <w:rPr>
          <w:spacing w:val="-4"/>
        </w:rPr>
        <w:t xml:space="preserve"> </w:t>
      </w:r>
      <w:r w:rsidRPr="002968B3">
        <w:t>name,</w:t>
      </w:r>
      <w:r w:rsidRPr="002968B3">
        <w:rPr>
          <w:spacing w:val="-5"/>
        </w:rPr>
        <w:t xml:space="preserve"> </w:t>
      </w:r>
      <w:r w:rsidRPr="002968B3">
        <w:t>amounts</w:t>
      </w:r>
      <w:r w:rsidRPr="002968B3">
        <w:rPr>
          <w:spacing w:val="-4"/>
        </w:rPr>
        <w:t xml:space="preserve"> </w:t>
      </w:r>
      <w:r w:rsidRPr="002968B3">
        <w:t>held</w:t>
      </w:r>
      <w:r w:rsidRPr="002968B3">
        <w:rPr>
          <w:spacing w:val="-4"/>
        </w:rPr>
        <w:t xml:space="preserve"> </w:t>
      </w:r>
      <w:r w:rsidRPr="002968B3">
        <w:t>in</w:t>
      </w:r>
      <w:r w:rsidRPr="002968B3">
        <w:rPr>
          <w:spacing w:val="-5"/>
        </w:rPr>
        <w:t xml:space="preserve"> </w:t>
      </w:r>
      <w:r w:rsidRPr="002968B3">
        <w:t>the</w:t>
      </w:r>
      <w:r w:rsidRPr="002968B3">
        <w:rPr>
          <w:spacing w:val="-6"/>
        </w:rPr>
        <w:t xml:space="preserve"> </w:t>
      </w:r>
      <w:r w:rsidRPr="002968B3">
        <w:t>Insolvency</w:t>
      </w:r>
      <w:r w:rsidRPr="002968B3">
        <w:rPr>
          <w:spacing w:val="-4"/>
        </w:rPr>
        <w:t xml:space="preserve"> </w:t>
      </w:r>
      <w:r w:rsidRPr="002968B3">
        <w:t>Services</w:t>
      </w:r>
      <w:r w:rsidRPr="002968B3">
        <w:rPr>
          <w:spacing w:val="-4"/>
        </w:rPr>
        <w:t xml:space="preserve"> </w:t>
      </w:r>
      <w:r w:rsidRPr="002968B3">
        <w:t>Account</w:t>
      </w:r>
      <w:r w:rsidRPr="002968B3">
        <w:rPr>
          <w:spacing w:val="-5"/>
        </w:rPr>
        <w:t xml:space="preserve"> </w:t>
      </w:r>
      <w:r w:rsidRPr="002968B3">
        <w:t>and</w:t>
      </w:r>
      <w:r w:rsidRPr="002968B3">
        <w:rPr>
          <w:spacing w:val="-6"/>
        </w:rPr>
        <w:t xml:space="preserve"> </w:t>
      </w:r>
      <w:r w:rsidRPr="002968B3">
        <w:t>in</w:t>
      </w:r>
      <w:r w:rsidRPr="002968B3">
        <w:rPr>
          <w:spacing w:val="-5"/>
        </w:rPr>
        <w:t xml:space="preserve"> </w:t>
      </w:r>
      <w:r w:rsidRPr="002968B3">
        <w:t>Treasury Bills, and other forms of investments.</w:t>
      </w:r>
    </w:p>
    <w:p w:rsidR="003C08EC" w:rsidRPr="002968B3" w:rsidRDefault="003C08EC">
      <w:pPr>
        <w:pStyle w:val="BodyText"/>
        <w:rPr>
          <w:sz w:val="22"/>
          <w:szCs w:val="22"/>
        </w:rPr>
      </w:pPr>
    </w:p>
    <w:p w:rsidR="003C08EC" w:rsidRPr="002968B3" w:rsidRDefault="005842B5">
      <w:pPr>
        <w:pStyle w:val="ListParagraph"/>
        <w:numPr>
          <w:ilvl w:val="0"/>
          <w:numId w:val="1"/>
        </w:numPr>
        <w:tabs>
          <w:tab w:val="left" w:pos="539"/>
        </w:tabs>
        <w:ind w:right="766"/>
      </w:pPr>
      <w:r w:rsidRPr="002968B3">
        <w:t>An</w:t>
      </w:r>
      <w:r w:rsidRPr="002968B3">
        <w:rPr>
          <w:spacing w:val="-6"/>
        </w:rPr>
        <w:t xml:space="preserve"> </w:t>
      </w:r>
      <w:r w:rsidRPr="002968B3">
        <w:t>office</w:t>
      </w:r>
      <w:r w:rsidRPr="002968B3">
        <w:rPr>
          <w:spacing w:val="-6"/>
        </w:rPr>
        <w:t xml:space="preserve"> </w:t>
      </w:r>
      <w:r w:rsidRPr="002968B3">
        <w:t>holder</w:t>
      </w:r>
      <w:r w:rsidRPr="002968B3">
        <w:rPr>
          <w:spacing w:val="-5"/>
        </w:rPr>
        <w:t xml:space="preserve"> </w:t>
      </w:r>
      <w:r w:rsidRPr="002968B3">
        <w:t>may</w:t>
      </w:r>
      <w:r w:rsidRPr="002968B3">
        <w:rPr>
          <w:spacing w:val="-4"/>
        </w:rPr>
        <w:t xml:space="preserve"> </w:t>
      </w:r>
      <w:r w:rsidRPr="002968B3">
        <w:t>present</w:t>
      </w:r>
      <w:r w:rsidRPr="002968B3">
        <w:rPr>
          <w:spacing w:val="-6"/>
        </w:rPr>
        <w:t xml:space="preserve"> </w:t>
      </w:r>
      <w:r w:rsidRPr="002968B3">
        <w:t>multiple</w:t>
      </w:r>
      <w:r w:rsidRPr="002968B3">
        <w:rPr>
          <w:spacing w:val="-5"/>
        </w:rPr>
        <w:t xml:space="preserve"> </w:t>
      </w:r>
      <w:r w:rsidRPr="002968B3">
        <w:t>receipts</w:t>
      </w:r>
      <w:r w:rsidRPr="002968B3">
        <w:rPr>
          <w:spacing w:val="-5"/>
        </w:rPr>
        <w:t xml:space="preserve"> </w:t>
      </w:r>
      <w:r w:rsidRPr="002968B3">
        <w:t>and</w:t>
      </w:r>
      <w:r w:rsidRPr="002968B3">
        <w:rPr>
          <w:spacing w:val="-6"/>
        </w:rPr>
        <w:t xml:space="preserve"> </w:t>
      </w:r>
      <w:r w:rsidRPr="002968B3">
        <w:t>payments</w:t>
      </w:r>
      <w:r w:rsidRPr="002968B3">
        <w:rPr>
          <w:spacing w:val="-5"/>
        </w:rPr>
        <w:t xml:space="preserve"> </w:t>
      </w:r>
      <w:r w:rsidRPr="002968B3">
        <w:t>accounts</w:t>
      </w:r>
      <w:r w:rsidRPr="002968B3">
        <w:rPr>
          <w:spacing w:val="-4"/>
        </w:rPr>
        <w:t xml:space="preserve"> </w:t>
      </w:r>
      <w:r w:rsidRPr="002968B3">
        <w:t>in</w:t>
      </w:r>
      <w:r w:rsidRPr="002968B3">
        <w:rPr>
          <w:spacing w:val="-6"/>
        </w:rPr>
        <w:t xml:space="preserve"> </w:t>
      </w:r>
      <w:r w:rsidRPr="002968B3">
        <w:t>more</w:t>
      </w:r>
      <w:r w:rsidRPr="002968B3">
        <w:rPr>
          <w:spacing w:val="-5"/>
        </w:rPr>
        <w:t xml:space="preserve"> </w:t>
      </w:r>
      <w:r w:rsidRPr="002968B3">
        <w:t>than</w:t>
      </w:r>
      <w:r w:rsidRPr="002968B3">
        <w:rPr>
          <w:spacing w:val="-6"/>
        </w:rPr>
        <w:t xml:space="preserve"> </w:t>
      </w:r>
      <w:r w:rsidRPr="002968B3">
        <w:t>one</w:t>
      </w:r>
      <w:r w:rsidRPr="002968B3">
        <w:rPr>
          <w:spacing w:val="-6"/>
        </w:rPr>
        <w:t xml:space="preserve"> </w:t>
      </w:r>
      <w:r w:rsidRPr="002968B3">
        <w:t>currency where bank accounts are maintained in those currencies (with details of the transfers between each currency), but should</w:t>
      </w:r>
      <w:r w:rsidRPr="002968B3">
        <w:rPr>
          <w:spacing w:val="-1"/>
        </w:rPr>
        <w:t xml:space="preserve"> </w:t>
      </w:r>
      <w:r w:rsidRPr="002968B3">
        <w:t>explain:</w:t>
      </w:r>
    </w:p>
    <w:p w:rsidR="003C08EC" w:rsidRPr="002968B3" w:rsidRDefault="003C08EC">
      <w:pPr>
        <w:pStyle w:val="BodyText"/>
        <w:spacing w:before="1"/>
        <w:rPr>
          <w:sz w:val="22"/>
          <w:szCs w:val="22"/>
        </w:rPr>
      </w:pPr>
    </w:p>
    <w:p w:rsidR="003C08EC" w:rsidRPr="002968B3" w:rsidRDefault="005842B5">
      <w:pPr>
        <w:pStyle w:val="ListParagraph"/>
        <w:numPr>
          <w:ilvl w:val="1"/>
          <w:numId w:val="1"/>
        </w:numPr>
        <w:tabs>
          <w:tab w:val="left" w:pos="834"/>
        </w:tabs>
        <w:spacing w:line="229" w:lineRule="exact"/>
        <w:ind w:hanging="361"/>
      </w:pPr>
      <w:r w:rsidRPr="002968B3">
        <w:t>Why funds have been held in currencies other than sterling;</w:t>
      </w:r>
    </w:p>
    <w:p w:rsidR="003C08EC" w:rsidRPr="002968B3" w:rsidRDefault="005842B5">
      <w:pPr>
        <w:pStyle w:val="ListParagraph"/>
        <w:numPr>
          <w:ilvl w:val="1"/>
          <w:numId w:val="1"/>
        </w:numPr>
        <w:tabs>
          <w:tab w:val="left" w:pos="834"/>
        </w:tabs>
        <w:spacing w:line="229" w:lineRule="exact"/>
        <w:ind w:hanging="361"/>
      </w:pPr>
      <w:r w:rsidRPr="002968B3">
        <w:t>The impact of currency holdings on the</w:t>
      </w:r>
      <w:r w:rsidRPr="002968B3">
        <w:rPr>
          <w:spacing w:val="1"/>
        </w:rPr>
        <w:t xml:space="preserve"> </w:t>
      </w:r>
      <w:r w:rsidRPr="002968B3">
        <w:t>estate;</w:t>
      </w:r>
    </w:p>
    <w:p w:rsidR="003C08EC" w:rsidRPr="002968B3" w:rsidRDefault="005842B5">
      <w:pPr>
        <w:pStyle w:val="ListParagraph"/>
        <w:numPr>
          <w:ilvl w:val="1"/>
          <w:numId w:val="1"/>
        </w:numPr>
        <w:tabs>
          <w:tab w:val="left" w:pos="834"/>
        </w:tabs>
        <w:ind w:hanging="361"/>
      </w:pPr>
      <w:r w:rsidRPr="002968B3">
        <w:t>An indication of the sterling value as at the date of the</w:t>
      </w:r>
      <w:r w:rsidRPr="002968B3">
        <w:rPr>
          <w:spacing w:val="6"/>
        </w:rPr>
        <w:t xml:space="preserve"> </w:t>
      </w:r>
      <w:r w:rsidRPr="002968B3">
        <w:t>account.</w:t>
      </w:r>
    </w:p>
    <w:p w:rsidR="003C08EC" w:rsidRPr="002968B3" w:rsidRDefault="003C08EC">
      <w:pPr>
        <w:pStyle w:val="BodyText"/>
        <w:spacing w:before="1"/>
        <w:rPr>
          <w:sz w:val="22"/>
          <w:szCs w:val="22"/>
        </w:rPr>
      </w:pPr>
    </w:p>
    <w:p w:rsidR="003C08EC" w:rsidRPr="002968B3" w:rsidRDefault="005842B5">
      <w:pPr>
        <w:pStyle w:val="Heading1"/>
        <w:rPr>
          <w:sz w:val="22"/>
          <w:szCs w:val="22"/>
        </w:rPr>
      </w:pPr>
      <w:r w:rsidRPr="002968B3">
        <w:rPr>
          <w:sz w:val="22"/>
          <w:szCs w:val="22"/>
        </w:rPr>
        <w:t>Value added tax (VAT)</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ind w:right="769"/>
      </w:pPr>
      <w:r w:rsidRPr="002968B3">
        <w:t>The</w:t>
      </w:r>
      <w:r w:rsidRPr="002968B3">
        <w:rPr>
          <w:spacing w:val="-8"/>
        </w:rPr>
        <w:t xml:space="preserve"> </w:t>
      </w:r>
      <w:r w:rsidRPr="002968B3">
        <w:t>treatment</w:t>
      </w:r>
      <w:r w:rsidRPr="002968B3">
        <w:rPr>
          <w:spacing w:val="-5"/>
        </w:rPr>
        <w:t xml:space="preserve"> </w:t>
      </w:r>
      <w:r w:rsidRPr="002968B3">
        <w:t>of</w:t>
      </w:r>
      <w:r w:rsidRPr="002968B3">
        <w:rPr>
          <w:spacing w:val="-6"/>
        </w:rPr>
        <w:t xml:space="preserve"> </w:t>
      </w:r>
      <w:r w:rsidRPr="002968B3">
        <w:t>VAT</w:t>
      </w:r>
      <w:r w:rsidRPr="002968B3">
        <w:rPr>
          <w:spacing w:val="-4"/>
        </w:rPr>
        <w:t xml:space="preserve"> </w:t>
      </w:r>
      <w:r w:rsidRPr="002968B3">
        <w:t>adopted</w:t>
      </w:r>
      <w:r w:rsidRPr="002968B3">
        <w:rPr>
          <w:spacing w:val="-7"/>
        </w:rPr>
        <w:t xml:space="preserve"> </w:t>
      </w:r>
      <w:r w:rsidRPr="002968B3">
        <w:t>within</w:t>
      </w:r>
      <w:r w:rsidRPr="002968B3">
        <w:rPr>
          <w:spacing w:val="-6"/>
        </w:rPr>
        <w:t xml:space="preserve"> </w:t>
      </w:r>
      <w:r w:rsidRPr="002968B3">
        <w:t>an</w:t>
      </w:r>
      <w:r w:rsidRPr="002968B3">
        <w:rPr>
          <w:spacing w:val="-7"/>
        </w:rPr>
        <w:t xml:space="preserve"> </w:t>
      </w:r>
      <w:r w:rsidRPr="002968B3">
        <w:t>account</w:t>
      </w:r>
      <w:r w:rsidRPr="002968B3">
        <w:rPr>
          <w:spacing w:val="-5"/>
        </w:rPr>
        <w:t xml:space="preserve"> </w:t>
      </w:r>
      <w:r w:rsidRPr="002968B3">
        <w:t>should</w:t>
      </w:r>
      <w:r w:rsidRPr="002968B3">
        <w:rPr>
          <w:spacing w:val="-6"/>
        </w:rPr>
        <w:t xml:space="preserve"> </w:t>
      </w:r>
      <w:r w:rsidRPr="002968B3">
        <w:t>be</w:t>
      </w:r>
      <w:r w:rsidRPr="002968B3">
        <w:rPr>
          <w:spacing w:val="-5"/>
        </w:rPr>
        <w:t xml:space="preserve"> </w:t>
      </w:r>
      <w:r w:rsidRPr="002968B3">
        <w:t>consistent</w:t>
      </w:r>
      <w:r w:rsidRPr="002968B3">
        <w:rPr>
          <w:spacing w:val="-5"/>
        </w:rPr>
        <w:t xml:space="preserve"> </w:t>
      </w:r>
      <w:r w:rsidRPr="002968B3">
        <w:t>and</w:t>
      </w:r>
      <w:r w:rsidRPr="002968B3">
        <w:rPr>
          <w:spacing w:val="-8"/>
        </w:rPr>
        <w:t xml:space="preserve"> </w:t>
      </w:r>
      <w:r w:rsidRPr="002968B3">
        <w:t>the</w:t>
      </w:r>
      <w:r w:rsidRPr="002968B3">
        <w:rPr>
          <w:spacing w:val="-5"/>
        </w:rPr>
        <w:t xml:space="preserve"> </w:t>
      </w:r>
      <w:r w:rsidRPr="002968B3">
        <w:t>implications</w:t>
      </w:r>
      <w:r w:rsidRPr="002968B3">
        <w:rPr>
          <w:spacing w:val="-4"/>
        </w:rPr>
        <w:t xml:space="preserve"> </w:t>
      </w:r>
      <w:r w:rsidRPr="002968B3">
        <w:t>of</w:t>
      </w:r>
      <w:r w:rsidRPr="002968B3">
        <w:rPr>
          <w:spacing w:val="-5"/>
        </w:rPr>
        <w:t xml:space="preserve"> </w:t>
      </w:r>
      <w:r w:rsidRPr="002968B3">
        <w:t>that treatment made</w:t>
      </w:r>
      <w:r w:rsidRPr="002968B3">
        <w:rPr>
          <w:spacing w:val="-1"/>
        </w:rPr>
        <w:t xml:space="preserve"> </w:t>
      </w:r>
      <w:r w:rsidRPr="002968B3">
        <w:t>clear.</w:t>
      </w:r>
    </w:p>
    <w:p w:rsidR="003C08EC" w:rsidRPr="002968B3" w:rsidRDefault="003C08EC">
      <w:pPr>
        <w:pStyle w:val="BodyText"/>
        <w:spacing w:before="10"/>
        <w:rPr>
          <w:sz w:val="22"/>
          <w:szCs w:val="22"/>
        </w:rPr>
      </w:pPr>
    </w:p>
    <w:p w:rsidR="003C08EC" w:rsidRPr="002968B3" w:rsidRDefault="005842B5">
      <w:pPr>
        <w:pStyle w:val="Heading1"/>
        <w:rPr>
          <w:sz w:val="22"/>
          <w:szCs w:val="22"/>
        </w:rPr>
      </w:pPr>
      <w:r w:rsidRPr="002968B3">
        <w:rPr>
          <w:sz w:val="22"/>
          <w:szCs w:val="22"/>
        </w:rPr>
        <w:t>Payments to insolvency office holders and their associates</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ind w:right="770"/>
      </w:pPr>
      <w:r w:rsidRPr="002968B3">
        <w:t>The following should be disclosed, either separately in the receipts and payments account or by way of</w:t>
      </w:r>
      <w:r w:rsidRPr="002968B3">
        <w:rPr>
          <w:spacing w:val="-2"/>
        </w:rPr>
        <w:t xml:space="preserve"> </w:t>
      </w:r>
      <w:r w:rsidRPr="002968B3">
        <w:t>note:</w:t>
      </w:r>
    </w:p>
    <w:p w:rsidR="003C08EC" w:rsidRPr="002968B3" w:rsidRDefault="003C08EC">
      <w:pPr>
        <w:pStyle w:val="BodyText"/>
        <w:spacing w:before="10"/>
        <w:rPr>
          <w:sz w:val="22"/>
          <w:szCs w:val="22"/>
        </w:rPr>
      </w:pPr>
    </w:p>
    <w:p w:rsidR="003C08EC" w:rsidRPr="002968B3" w:rsidRDefault="005842B5">
      <w:pPr>
        <w:pStyle w:val="ListParagraph"/>
        <w:numPr>
          <w:ilvl w:val="1"/>
          <w:numId w:val="1"/>
        </w:numPr>
        <w:tabs>
          <w:tab w:val="left" w:pos="834"/>
        </w:tabs>
        <w:spacing w:before="1"/>
        <w:ind w:hanging="361"/>
      </w:pPr>
      <w:r w:rsidRPr="002968B3">
        <w:t>Office holder’s remuneration, showing the amounts paid on each basis;</w:t>
      </w:r>
    </w:p>
    <w:p w:rsidR="003C08EC" w:rsidRPr="002968B3" w:rsidRDefault="005842B5">
      <w:pPr>
        <w:pStyle w:val="ListParagraph"/>
        <w:numPr>
          <w:ilvl w:val="1"/>
          <w:numId w:val="1"/>
        </w:numPr>
        <w:tabs>
          <w:tab w:val="left" w:pos="834"/>
        </w:tabs>
        <w:ind w:hanging="361"/>
      </w:pPr>
      <w:r w:rsidRPr="002968B3">
        <w:t>Amounts paid to the office holder in respect of the supervision of</w:t>
      </w:r>
      <w:r w:rsidRPr="002968B3">
        <w:rPr>
          <w:spacing w:val="1"/>
        </w:rPr>
        <w:t xml:space="preserve"> </w:t>
      </w:r>
      <w:r w:rsidRPr="002968B3">
        <w:t>trading;</w:t>
      </w:r>
    </w:p>
    <w:p w:rsidR="003C08EC" w:rsidRPr="002968B3" w:rsidRDefault="005842B5">
      <w:pPr>
        <w:pStyle w:val="ListParagraph"/>
        <w:numPr>
          <w:ilvl w:val="1"/>
          <w:numId w:val="1"/>
        </w:numPr>
        <w:tabs>
          <w:tab w:val="left" w:pos="834"/>
        </w:tabs>
        <w:spacing w:before="1"/>
        <w:ind w:hanging="361"/>
      </w:pPr>
      <w:r w:rsidRPr="002968B3">
        <w:t>All other amounts required to be approved in the same manner as remuneration;</w:t>
      </w:r>
    </w:p>
    <w:p w:rsidR="003C08EC" w:rsidRPr="002968B3" w:rsidRDefault="005842B5">
      <w:pPr>
        <w:pStyle w:val="ListParagraph"/>
        <w:numPr>
          <w:ilvl w:val="1"/>
          <w:numId w:val="1"/>
        </w:numPr>
        <w:tabs>
          <w:tab w:val="left" w:pos="834"/>
        </w:tabs>
        <w:spacing w:line="229" w:lineRule="exact"/>
        <w:ind w:hanging="361"/>
      </w:pPr>
      <w:r w:rsidRPr="002968B3">
        <w:t>Amounts paid to the office holder from the estate in respect of pre-appointment</w:t>
      </w:r>
      <w:r w:rsidRPr="002968B3">
        <w:rPr>
          <w:spacing w:val="-10"/>
        </w:rPr>
        <w:t xml:space="preserve"> </w:t>
      </w:r>
      <w:r w:rsidRPr="002968B3">
        <w:t>costs;</w:t>
      </w:r>
    </w:p>
    <w:p w:rsidR="003C08EC" w:rsidRPr="002968B3" w:rsidRDefault="005842B5">
      <w:pPr>
        <w:pStyle w:val="ListParagraph"/>
        <w:numPr>
          <w:ilvl w:val="1"/>
          <w:numId w:val="1"/>
        </w:numPr>
        <w:tabs>
          <w:tab w:val="left" w:pos="834"/>
        </w:tabs>
        <w:ind w:right="768"/>
      </w:pPr>
      <w:r w:rsidRPr="002968B3">
        <w:t xml:space="preserve">Any amounts paid to the office holder or their associates or firm other than out of the estate, giving the amounts paid, the name of </w:t>
      </w:r>
      <w:proofErr w:type="spellStart"/>
      <w:r w:rsidRPr="002968B3">
        <w:t>payor</w:t>
      </w:r>
      <w:proofErr w:type="spellEnd"/>
      <w:r w:rsidRPr="002968B3">
        <w:t>, their relationship to the insolvent estate and the nature of the</w:t>
      </w:r>
      <w:r w:rsidRPr="002968B3">
        <w:rPr>
          <w:spacing w:val="-2"/>
        </w:rPr>
        <w:t xml:space="preserve"> </w:t>
      </w:r>
      <w:r w:rsidRPr="002968B3">
        <w:t>payment;</w:t>
      </w:r>
    </w:p>
    <w:p w:rsidR="003C08EC" w:rsidRPr="002968B3" w:rsidRDefault="005842B5">
      <w:pPr>
        <w:pStyle w:val="ListParagraph"/>
        <w:numPr>
          <w:ilvl w:val="1"/>
          <w:numId w:val="1"/>
        </w:numPr>
        <w:tabs>
          <w:tab w:val="left" w:pos="834"/>
        </w:tabs>
        <w:ind w:right="761"/>
      </w:pPr>
      <w:r w:rsidRPr="002968B3">
        <w:t>Amounts paid to sub-contractors for work that would otherwise have to be carried out by the office holder or their</w:t>
      </w:r>
      <w:r w:rsidRPr="002968B3">
        <w:rPr>
          <w:spacing w:val="3"/>
        </w:rPr>
        <w:t xml:space="preserve"> </w:t>
      </w:r>
      <w:r w:rsidRPr="002968B3">
        <w:t>staff.</w:t>
      </w:r>
    </w:p>
    <w:p w:rsidR="003C08EC" w:rsidRPr="002968B3" w:rsidRDefault="003C08EC">
      <w:pPr>
        <w:pStyle w:val="BodyText"/>
        <w:spacing w:before="11"/>
        <w:rPr>
          <w:sz w:val="22"/>
          <w:szCs w:val="22"/>
        </w:rPr>
      </w:pPr>
    </w:p>
    <w:p w:rsidR="003C08EC" w:rsidRPr="002968B3" w:rsidRDefault="005842B5">
      <w:pPr>
        <w:pStyle w:val="ListParagraph"/>
        <w:numPr>
          <w:ilvl w:val="0"/>
          <w:numId w:val="1"/>
        </w:numPr>
        <w:tabs>
          <w:tab w:val="left" w:pos="539"/>
        </w:tabs>
        <w:ind w:right="759"/>
      </w:pPr>
      <w:r w:rsidRPr="002968B3">
        <w:t>These</w:t>
      </w:r>
      <w:r w:rsidRPr="002968B3">
        <w:rPr>
          <w:spacing w:val="-11"/>
        </w:rPr>
        <w:t xml:space="preserve"> </w:t>
      </w:r>
      <w:r w:rsidRPr="002968B3">
        <w:t>disclosures</w:t>
      </w:r>
      <w:r w:rsidRPr="002968B3">
        <w:rPr>
          <w:spacing w:val="-9"/>
        </w:rPr>
        <w:t xml:space="preserve"> </w:t>
      </w:r>
      <w:r w:rsidRPr="002968B3">
        <w:t>should</w:t>
      </w:r>
      <w:r w:rsidRPr="002968B3">
        <w:rPr>
          <w:spacing w:val="-9"/>
        </w:rPr>
        <w:t xml:space="preserve"> </w:t>
      </w:r>
      <w:r w:rsidRPr="002968B3">
        <w:t>always</w:t>
      </w:r>
      <w:r w:rsidRPr="002968B3">
        <w:rPr>
          <w:spacing w:val="-9"/>
        </w:rPr>
        <w:t xml:space="preserve"> </w:t>
      </w:r>
      <w:r w:rsidRPr="002968B3">
        <w:t>be</w:t>
      </w:r>
      <w:r w:rsidRPr="002968B3">
        <w:rPr>
          <w:spacing w:val="-12"/>
        </w:rPr>
        <w:t xml:space="preserve"> </w:t>
      </w:r>
      <w:r w:rsidRPr="002968B3">
        <w:t>made</w:t>
      </w:r>
      <w:r w:rsidRPr="002968B3">
        <w:rPr>
          <w:spacing w:val="-8"/>
        </w:rPr>
        <w:t xml:space="preserve"> </w:t>
      </w:r>
      <w:r w:rsidRPr="002968B3">
        <w:t>whenever</w:t>
      </w:r>
      <w:r w:rsidRPr="002968B3">
        <w:rPr>
          <w:spacing w:val="-10"/>
        </w:rPr>
        <w:t xml:space="preserve"> </w:t>
      </w:r>
      <w:r w:rsidRPr="002968B3">
        <w:t>reporting</w:t>
      </w:r>
      <w:r w:rsidRPr="002968B3">
        <w:rPr>
          <w:spacing w:val="-10"/>
        </w:rPr>
        <w:t xml:space="preserve"> </w:t>
      </w:r>
      <w:r w:rsidRPr="002968B3">
        <w:t>on</w:t>
      </w:r>
      <w:r w:rsidRPr="002968B3">
        <w:rPr>
          <w:spacing w:val="-10"/>
        </w:rPr>
        <w:t xml:space="preserve"> </w:t>
      </w:r>
      <w:r w:rsidRPr="002968B3">
        <w:t>remuneration</w:t>
      </w:r>
      <w:r w:rsidRPr="002968B3">
        <w:rPr>
          <w:spacing w:val="-4"/>
        </w:rPr>
        <w:t xml:space="preserve"> </w:t>
      </w:r>
      <w:r w:rsidRPr="002968B3">
        <w:t>and/or</w:t>
      </w:r>
      <w:r w:rsidRPr="002968B3">
        <w:rPr>
          <w:spacing w:val="-9"/>
        </w:rPr>
        <w:t xml:space="preserve"> </w:t>
      </w:r>
      <w:r w:rsidRPr="002968B3">
        <w:t>expenses, whether incurred, accrued or</w:t>
      </w:r>
      <w:r w:rsidRPr="002968B3">
        <w:rPr>
          <w:spacing w:val="-3"/>
        </w:rPr>
        <w:t xml:space="preserve"> </w:t>
      </w:r>
      <w:r w:rsidRPr="002968B3">
        <w:t>paid.</w:t>
      </w:r>
    </w:p>
    <w:p w:rsidR="003C08EC" w:rsidRDefault="003C08EC">
      <w:pPr>
        <w:pStyle w:val="BodyText"/>
        <w:spacing w:before="1"/>
        <w:rPr>
          <w:sz w:val="22"/>
          <w:szCs w:val="22"/>
        </w:rPr>
      </w:pPr>
    </w:p>
    <w:p w:rsidR="003C08EC" w:rsidRPr="002968B3" w:rsidRDefault="005842B5">
      <w:pPr>
        <w:pStyle w:val="Heading1"/>
        <w:rPr>
          <w:sz w:val="22"/>
          <w:szCs w:val="22"/>
        </w:rPr>
      </w:pPr>
      <w:r w:rsidRPr="002968B3">
        <w:rPr>
          <w:sz w:val="22"/>
          <w:szCs w:val="22"/>
        </w:rPr>
        <w:t>Requests for additional information</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spacing w:before="1"/>
        <w:ind w:right="767"/>
      </w:pPr>
      <w:r w:rsidRPr="002968B3">
        <w:t>Requests</w:t>
      </w:r>
      <w:r w:rsidRPr="002968B3">
        <w:rPr>
          <w:spacing w:val="-13"/>
        </w:rPr>
        <w:t xml:space="preserve"> </w:t>
      </w:r>
      <w:r w:rsidRPr="002968B3">
        <w:t>for</w:t>
      </w:r>
      <w:r w:rsidRPr="002968B3">
        <w:rPr>
          <w:spacing w:val="-12"/>
        </w:rPr>
        <w:t xml:space="preserve"> </w:t>
      </w:r>
      <w:r w:rsidRPr="002968B3">
        <w:t>additional</w:t>
      </w:r>
      <w:r w:rsidRPr="002968B3">
        <w:rPr>
          <w:spacing w:val="-13"/>
        </w:rPr>
        <w:t xml:space="preserve"> </w:t>
      </w:r>
      <w:r w:rsidRPr="002968B3">
        <w:t>information,</w:t>
      </w:r>
      <w:r w:rsidRPr="002968B3">
        <w:rPr>
          <w:spacing w:val="-13"/>
        </w:rPr>
        <w:t xml:space="preserve"> </w:t>
      </w:r>
      <w:r w:rsidRPr="002968B3">
        <w:t>including</w:t>
      </w:r>
      <w:r w:rsidRPr="002968B3">
        <w:rPr>
          <w:spacing w:val="-13"/>
        </w:rPr>
        <w:t xml:space="preserve"> </w:t>
      </w:r>
      <w:r w:rsidRPr="002968B3">
        <w:t>on</w:t>
      </w:r>
      <w:r w:rsidRPr="002968B3">
        <w:rPr>
          <w:spacing w:val="-14"/>
        </w:rPr>
        <w:t xml:space="preserve"> </w:t>
      </w:r>
      <w:r w:rsidRPr="002968B3">
        <w:t>expenses,</w:t>
      </w:r>
      <w:r w:rsidRPr="002968B3">
        <w:rPr>
          <w:spacing w:val="-13"/>
        </w:rPr>
        <w:t xml:space="preserve"> </w:t>
      </w:r>
      <w:r w:rsidRPr="002968B3">
        <w:t>should</w:t>
      </w:r>
      <w:r w:rsidRPr="002968B3">
        <w:rPr>
          <w:spacing w:val="-13"/>
        </w:rPr>
        <w:t xml:space="preserve"> </w:t>
      </w:r>
      <w:r w:rsidRPr="002968B3">
        <w:t>be</w:t>
      </w:r>
      <w:r w:rsidRPr="002968B3">
        <w:rPr>
          <w:spacing w:val="-13"/>
        </w:rPr>
        <w:t xml:space="preserve"> </w:t>
      </w:r>
      <w:r w:rsidRPr="002968B3">
        <w:t>viewed</w:t>
      </w:r>
      <w:r w:rsidRPr="002968B3">
        <w:rPr>
          <w:spacing w:val="-13"/>
        </w:rPr>
        <w:t xml:space="preserve"> </w:t>
      </w:r>
      <w:r w:rsidRPr="002968B3">
        <w:t>upon</w:t>
      </w:r>
      <w:r w:rsidRPr="002968B3">
        <w:rPr>
          <w:spacing w:val="-12"/>
        </w:rPr>
        <w:t xml:space="preserve"> </w:t>
      </w:r>
      <w:r w:rsidRPr="002968B3">
        <w:t>their</w:t>
      </w:r>
      <w:r w:rsidRPr="002968B3">
        <w:rPr>
          <w:spacing w:val="-12"/>
        </w:rPr>
        <w:t xml:space="preserve"> </w:t>
      </w:r>
      <w:r w:rsidRPr="002968B3">
        <w:t>individual merits and treated by an office holder in a fair and reasonable way. The provision of additional information should be proportionate to the circumstances of the appointment.</w:t>
      </w:r>
    </w:p>
    <w:p w:rsidR="003C08EC" w:rsidRPr="002968B3" w:rsidRDefault="003C08EC">
      <w:pPr>
        <w:pStyle w:val="BodyText"/>
        <w:spacing w:before="10"/>
        <w:rPr>
          <w:sz w:val="22"/>
          <w:szCs w:val="22"/>
        </w:rPr>
      </w:pPr>
    </w:p>
    <w:p w:rsidR="003C08EC" w:rsidRPr="002968B3" w:rsidRDefault="005842B5">
      <w:pPr>
        <w:pStyle w:val="ListParagraph"/>
        <w:numPr>
          <w:ilvl w:val="0"/>
          <w:numId w:val="1"/>
        </w:numPr>
        <w:tabs>
          <w:tab w:val="left" w:pos="539"/>
        </w:tabs>
        <w:ind w:right="759"/>
      </w:pPr>
      <w:r w:rsidRPr="002968B3">
        <w:t>Creditors and other interested parties</w:t>
      </w:r>
      <w:r w:rsidRPr="002968B3">
        <w:rPr>
          <w:position w:val="6"/>
        </w:rPr>
        <w:t xml:space="preserve">1 </w:t>
      </w:r>
      <w:r w:rsidRPr="002968B3">
        <w:t>may have the statutory right to seek further information about payments made by the office holder. Creditors and other interested parties</w:t>
      </w:r>
      <w:r w:rsidRPr="002968B3">
        <w:rPr>
          <w:position w:val="6"/>
        </w:rPr>
        <w:t xml:space="preserve">1 </w:t>
      </w:r>
      <w:r w:rsidRPr="002968B3">
        <w:t>may also have the</w:t>
      </w:r>
      <w:r w:rsidRPr="002968B3">
        <w:rPr>
          <w:spacing w:val="-8"/>
        </w:rPr>
        <w:t xml:space="preserve"> </w:t>
      </w:r>
      <w:r w:rsidRPr="002968B3">
        <w:t>right</w:t>
      </w:r>
      <w:r w:rsidRPr="002968B3">
        <w:rPr>
          <w:spacing w:val="-5"/>
        </w:rPr>
        <w:t xml:space="preserve"> </w:t>
      </w:r>
      <w:r w:rsidRPr="002968B3">
        <w:t>to</w:t>
      </w:r>
      <w:r w:rsidRPr="002968B3">
        <w:rPr>
          <w:spacing w:val="-5"/>
        </w:rPr>
        <w:t xml:space="preserve"> </w:t>
      </w:r>
      <w:r w:rsidRPr="002968B3">
        <w:t>apply</w:t>
      </w:r>
      <w:r w:rsidRPr="002968B3">
        <w:rPr>
          <w:spacing w:val="-7"/>
        </w:rPr>
        <w:t xml:space="preserve"> </w:t>
      </w:r>
      <w:r w:rsidRPr="002968B3">
        <w:t>to</w:t>
      </w:r>
      <w:r w:rsidRPr="002968B3">
        <w:rPr>
          <w:spacing w:val="-5"/>
        </w:rPr>
        <w:t xml:space="preserve"> </w:t>
      </w:r>
      <w:r w:rsidRPr="002968B3">
        <w:t>the</w:t>
      </w:r>
      <w:r w:rsidRPr="002968B3">
        <w:rPr>
          <w:spacing w:val="-7"/>
        </w:rPr>
        <w:t xml:space="preserve"> </w:t>
      </w:r>
      <w:r w:rsidRPr="002968B3">
        <w:t>court</w:t>
      </w:r>
      <w:r w:rsidRPr="002968B3">
        <w:rPr>
          <w:spacing w:val="-7"/>
        </w:rPr>
        <w:t xml:space="preserve"> </w:t>
      </w:r>
      <w:r w:rsidRPr="002968B3">
        <w:t>if</w:t>
      </w:r>
      <w:r w:rsidRPr="002968B3">
        <w:rPr>
          <w:spacing w:val="-5"/>
        </w:rPr>
        <w:t xml:space="preserve"> </w:t>
      </w:r>
      <w:r w:rsidRPr="002968B3">
        <w:t>they</w:t>
      </w:r>
      <w:r w:rsidRPr="002968B3">
        <w:rPr>
          <w:spacing w:val="-6"/>
        </w:rPr>
        <w:t xml:space="preserve"> </w:t>
      </w:r>
      <w:r w:rsidRPr="002968B3">
        <w:t>consider</w:t>
      </w:r>
      <w:r w:rsidRPr="002968B3">
        <w:rPr>
          <w:spacing w:val="-6"/>
        </w:rPr>
        <w:t xml:space="preserve"> </w:t>
      </w:r>
      <w:r w:rsidRPr="002968B3">
        <w:t>these</w:t>
      </w:r>
      <w:r w:rsidRPr="002968B3">
        <w:rPr>
          <w:spacing w:val="-5"/>
        </w:rPr>
        <w:t xml:space="preserve"> </w:t>
      </w:r>
      <w:r w:rsidRPr="002968B3">
        <w:t>costs</w:t>
      </w:r>
      <w:r w:rsidRPr="002968B3">
        <w:rPr>
          <w:spacing w:val="-7"/>
        </w:rPr>
        <w:t xml:space="preserve"> </w:t>
      </w:r>
      <w:r w:rsidRPr="002968B3">
        <w:t>to</w:t>
      </w:r>
      <w:r w:rsidRPr="002968B3">
        <w:rPr>
          <w:spacing w:val="-7"/>
        </w:rPr>
        <w:t xml:space="preserve"> </w:t>
      </w:r>
      <w:r w:rsidRPr="002968B3">
        <w:t>be</w:t>
      </w:r>
      <w:r w:rsidRPr="002968B3">
        <w:rPr>
          <w:spacing w:val="-5"/>
        </w:rPr>
        <w:t xml:space="preserve"> </w:t>
      </w:r>
      <w:r w:rsidRPr="002968B3">
        <w:t>excessive</w:t>
      </w:r>
      <w:r w:rsidRPr="002968B3">
        <w:rPr>
          <w:spacing w:val="-5"/>
        </w:rPr>
        <w:t xml:space="preserve"> </w:t>
      </w:r>
      <w:r w:rsidRPr="002968B3">
        <w:t>in</w:t>
      </w:r>
      <w:r w:rsidRPr="002968B3">
        <w:rPr>
          <w:spacing w:val="-6"/>
        </w:rPr>
        <w:t xml:space="preserve"> </w:t>
      </w:r>
      <w:r w:rsidRPr="002968B3">
        <w:t>all</w:t>
      </w:r>
      <w:r w:rsidRPr="002968B3">
        <w:rPr>
          <w:spacing w:val="-8"/>
        </w:rPr>
        <w:t xml:space="preserve"> </w:t>
      </w:r>
      <w:r w:rsidRPr="002968B3">
        <w:t>the</w:t>
      </w:r>
      <w:r w:rsidRPr="002968B3">
        <w:rPr>
          <w:spacing w:val="3"/>
        </w:rPr>
        <w:t xml:space="preserve"> </w:t>
      </w:r>
      <w:r w:rsidRPr="002968B3">
        <w:t>circumstances.</w:t>
      </w:r>
    </w:p>
    <w:p w:rsidR="003C08EC" w:rsidRPr="002968B3" w:rsidRDefault="003C08EC">
      <w:pPr>
        <w:pStyle w:val="BodyText"/>
        <w:spacing w:before="10"/>
        <w:rPr>
          <w:sz w:val="22"/>
          <w:szCs w:val="22"/>
        </w:rPr>
      </w:pPr>
    </w:p>
    <w:p w:rsidR="003C08EC" w:rsidRPr="002968B3" w:rsidRDefault="005842B5">
      <w:pPr>
        <w:pStyle w:val="ListParagraph"/>
        <w:numPr>
          <w:ilvl w:val="0"/>
          <w:numId w:val="1"/>
        </w:numPr>
        <w:tabs>
          <w:tab w:val="left" w:pos="539"/>
        </w:tabs>
        <w:ind w:right="758"/>
      </w:pPr>
      <w:r w:rsidRPr="002968B3">
        <w:t>Adequate steps should be taken to bring the rights of creditors and other interested parties</w:t>
      </w:r>
      <w:r w:rsidRPr="002968B3">
        <w:rPr>
          <w:position w:val="6"/>
        </w:rPr>
        <w:t xml:space="preserve">1 </w:t>
      </w:r>
      <w:r w:rsidRPr="002968B3">
        <w:t>to their attention. Information on how to access a suitable explanatory note setting out the rights of creditors should be given, when appropriate, in reports that present financial</w:t>
      </w:r>
      <w:r w:rsidRPr="002968B3">
        <w:rPr>
          <w:spacing w:val="-10"/>
        </w:rPr>
        <w:t xml:space="preserve"> </w:t>
      </w:r>
      <w:r w:rsidRPr="002968B3">
        <w:t>information.</w:t>
      </w:r>
    </w:p>
    <w:p w:rsidR="003C08EC" w:rsidRPr="002968B3" w:rsidRDefault="003C08EC">
      <w:pPr>
        <w:pStyle w:val="BodyText"/>
        <w:spacing w:before="1"/>
        <w:rPr>
          <w:sz w:val="22"/>
          <w:szCs w:val="22"/>
        </w:rPr>
      </w:pPr>
    </w:p>
    <w:p w:rsidR="003C08EC" w:rsidRDefault="005842B5">
      <w:pPr>
        <w:pStyle w:val="ListParagraph"/>
        <w:numPr>
          <w:ilvl w:val="0"/>
          <w:numId w:val="1"/>
        </w:numPr>
        <w:tabs>
          <w:tab w:val="left" w:pos="539"/>
        </w:tabs>
        <w:ind w:right="765"/>
      </w:pPr>
      <w:r w:rsidRPr="002968B3">
        <w:t>When an office holder’s appointment is followed by the appointment of another insolvency practitioner, whether or not in the same proceedings, the prior office holder should provide the successor with information in accordance with the principles and standards contained in this statement. This is in addition to any statutory obligations imposed on an office holder to provide information.</w:t>
      </w:r>
    </w:p>
    <w:p w:rsidR="005842B5" w:rsidRDefault="005842B5" w:rsidP="005842B5">
      <w:pPr>
        <w:pStyle w:val="ListParagraph"/>
      </w:pPr>
    </w:p>
    <w:p w:rsidR="003C08EC" w:rsidRPr="002968B3" w:rsidRDefault="005842B5">
      <w:pPr>
        <w:pStyle w:val="Heading1"/>
        <w:spacing w:before="93"/>
        <w:rPr>
          <w:sz w:val="22"/>
          <w:szCs w:val="22"/>
        </w:rPr>
      </w:pPr>
      <w:r w:rsidRPr="002968B3">
        <w:rPr>
          <w:sz w:val="22"/>
          <w:szCs w:val="22"/>
        </w:rPr>
        <w:t>Receipts</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ind w:right="759"/>
      </w:pPr>
      <w:r w:rsidRPr="002968B3">
        <w:t>Realisations</w:t>
      </w:r>
      <w:r w:rsidRPr="002968B3">
        <w:rPr>
          <w:spacing w:val="-14"/>
        </w:rPr>
        <w:t xml:space="preserve"> </w:t>
      </w:r>
      <w:r w:rsidRPr="002968B3">
        <w:t>by</w:t>
      </w:r>
      <w:r w:rsidRPr="002968B3">
        <w:rPr>
          <w:spacing w:val="-16"/>
        </w:rPr>
        <w:t xml:space="preserve"> </w:t>
      </w:r>
      <w:r w:rsidRPr="002968B3">
        <w:t>or</w:t>
      </w:r>
      <w:r w:rsidRPr="002968B3">
        <w:rPr>
          <w:spacing w:val="-14"/>
        </w:rPr>
        <w:t xml:space="preserve"> </w:t>
      </w:r>
      <w:r w:rsidRPr="002968B3">
        <w:t>on</w:t>
      </w:r>
      <w:r w:rsidRPr="002968B3">
        <w:rPr>
          <w:spacing w:val="-15"/>
        </w:rPr>
        <w:t xml:space="preserve"> </w:t>
      </w:r>
      <w:r w:rsidRPr="002968B3">
        <w:t>behalf</w:t>
      </w:r>
      <w:r w:rsidRPr="002968B3">
        <w:rPr>
          <w:spacing w:val="-12"/>
        </w:rPr>
        <w:t xml:space="preserve"> </w:t>
      </w:r>
      <w:r w:rsidRPr="002968B3">
        <w:t>of</w:t>
      </w:r>
      <w:r w:rsidRPr="002968B3">
        <w:rPr>
          <w:spacing w:val="-18"/>
        </w:rPr>
        <w:t xml:space="preserve"> </w:t>
      </w:r>
      <w:r w:rsidRPr="002968B3">
        <w:t>the</w:t>
      </w:r>
      <w:r w:rsidRPr="002968B3">
        <w:rPr>
          <w:spacing w:val="-17"/>
        </w:rPr>
        <w:t xml:space="preserve"> </w:t>
      </w:r>
      <w:r w:rsidRPr="002968B3">
        <w:t>office</w:t>
      </w:r>
      <w:r w:rsidRPr="002968B3">
        <w:rPr>
          <w:spacing w:val="-14"/>
        </w:rPr>
        <w:t xml:space="preserve"> </w:t>
      </w:r>
      <w:r w:rsidRPr="002968B3">
        <w:t>holder</w:t>
      </w:r>
      <w:r w:rsidRPr="002968B3">
        <w:rPr>
          <w:spacing w:val="-17"/>
        </w:rPr>
        <w:t xml:space="preserve"> </w:t>
      </w:r>
      <w:r w:rsidRPr="002968B3">
        <w:t>should</w:t>
      </w:r>
      <w:r w:rsidRPr="002968B3">
        <w:rPr>
          <w:spacing w:val="-14"/>
        </w:rPr>
        <w:t xml:space="preserve"> </w:t>
      </w:r>
      <w:r w:rsidRPr="002968B3">
        <w:t>be</w:t>
      </w:r>
      <w:r w:rsidRPr="002968B3">
        <w:rPr>
          <w:spacing w:val="-17"/>
        </w:rPr>
        <w:t xml:space="preserve"> </w:t>
      </w:r>
      <w:r w:rsidRPr="002968B3">
        <w:t>shown</w:t>
      </w:r>
      <w:r w:rsidRPr="002968B3">
        <w:rPr>
          <w:spacing w:val="-17"/>
        </w:rPr>
        <w:t xml:space="preserve"> </w:t>
      </w:r>
      <w:r w:rsidRPr="002968B3">
        <w:t>gross,</w:t>
      </w:r>
      <w:r w:rsidRPr="002968B3">
        <w:rPr>
          <w:spacing w:val="-15"/>
        </w:rPr>
        <w:t xml:space="preserve"> </w:t>
      </w:r>
      <w:r w:rsidRPr="002968B3">
        <w:t>with</w:t>
      </w:r>
      <w:r w:rsidRPr="002968B3">
        <w:rPr>
          <w:spacing w:val="-17"/>
        </w:rPr>
        <w:t xml:space="preserve"> </w:t>
      </w:r>
      <w:r w:rsidRPr="002968B3">
        <w:t>the</w:t>
      </w:r>
      <w:r w:rsidRPr="002968B3">
        <w:rPr>
          <w:spacing w:val="-17"/>
        </w:rPr>
        <w:t xml:space="preserve"> </w:t>
      </w:r>
      <w:r w:rsidRPr="002968B3">
        <w:t>costs</w:t>
      </w:r>
      <w:r w:rsidRPr="002968B3">
        <w:rPr>
          <w:spacing w:val="-8"/>
        </w:rPr>
        <w:t xml:space="preserve"> </w:t>
      </w:r>
      <w:r w:rsidRPr="002968B3">
        <w:t>of</w:t>
      </w:r>
      <w:r w:rsidRPr="002968B3">
        <w:rPr>
          <w:spacing w:val="-17"/>
        </w:rPr>
        <w:t xml:space="preserve"> </w:t>
      </w:r>
      <w:r w:rsidRPr="002968B3">
        <w:t>realisation shown separately as</w:t>
      </w:r>
      <w:r w:rsidRPr="002968B3">
        <w:rPr>
          <w:spacing w:val="-1"/>
        </w:rPr>
        <w:t xml:space="preserve"> </w:t>
      </w:r>
      <w:r w:rsidRPr="002968B3">
        <w:t>payments.</w:t>
      </w:r>
    </w:p>
    <w:p w:rsidR="003C08EC" w:rsidRPr="002968B3" w:rsidRDefault="003C08EC">
      <w:pPr>
        <w:pStyle w:val="BodyText"/>
        <w:spacing w:before="10"/>
        <w:rPr>
          <w:sz w:val="22"/>
          <w:szCs w:val="22"/>
        </w:rPr>
      </w:pPr>
    </w:p>
    <w:p w:rsidR="003C08EC" w:rsidRPr="002968B3" w:rsidRDefault="005842B5">
      <w:pPr>
        <w:pStyle w:val="ListParagraph"/>
        <w:numPr>
          <w:ilvl w:val="0"/>
          <w:numId w:val="1"/>
        </w:numPr>
        <w:tabs>
          <w:tab w:val="left" w:pos="539"/>
        </w:tabs>
        <w:ind w:right="761"/>
      </w:pPr>
      <w:r w:rsidRPr="002968B3">
        <w:t xml:space="preserve">Realisations by or on behalf of the office holder of assets subject to charges should be shown as above with the amounts accounted for to the </w:t>
      </w:r>
      <w:proofErr w:type="spellStart"/>
      <w:r w:rsidRPr="002968B3">
        <w:t>chargeholder</w:t>
      </w:r>
      <w:proofErr w:type="spellEnd"/>
      <w:r w:rsidRPr="002968B3">
        <w:t xml:space="preserve"> shown separately as</w:t>
      </w:r>
      <w:r w:rsidRPr="002968B3">
        <w:rPr>
          <w:spacing w:val="-21"/>
        </w:rPr>
        <w:t xml:space="preserve"> </w:t>
      </w:r>
      <w:r w:rsidRPr="002968B3">
        <w:t>payments.</w:t>
      </w:r>
    </w:p>
    <w:p w:rsidR="003C08EC" w:rsidRPr="002968B3" w:rsidRDefault="003C08EC">
      <w:pPr>
        <w:pStyle w:val="BodyText"/>
        <w:spacing w:before="1"/>
        <w:rPr>
          <w:sz w:val="22"/>
          <w:szCs w:val="22"/>
        </w:rPr>
      </w:pPr>
    </w:p>
    <w:p w:rsidR="003C08EC" w:rsidRPr="002968B3" w:rsidRDefault="005842B5">
      <w:pPr>
        <w:pStyle w:val="ListParagraph"/>
        <w:numPr>
          <w:ilvl w:val="0"/>
          <w:numId w:val="1"/>
        </w:numPr>
        <w:tabs>
          <w:tab w:val="left" w:pos="539"/>
        </w:tabs>
        <w:ind w:right="765"/>
      </w:pPr>
      <w:r w:rsidRPr="002968B3">
        <w:t xml:space="preserve">When assets subject to charges are sold by or on the instructions of the </w:t>
      </w:r>
      <w:proofErr w:type="spellStart"/>
      <w:r w:rsidRPr="002968B3">
        <w:t>chargeholder</w:t>
      </w:r>
      <w:proofErr w:type="spellEnd"/>
      <w:r w:rsidRPr="002968B3">
        <w:t xml:space="preserve"> (or other person</w:t>
      </w:r>
      <w:r w:rsidRPr="002968B3">
        <w:rPr>
          <w:spacing w:val="-6"/>
        </w:rPr>
        <w:t xml:space="preserve"> </w:t>
      </w:r>
      <w:r w:rsidRPr="002968B3">
        <w:t>with</w:t>
      </w:r>
      <w:r w:rsidRPr="002968B3">
        <w:rPr>
          <w:spacing w:val="-7"/>
        </w:rPr>
        <w:t xml:space="preserve"> </w:t>
      </w:r>
      <w:r w:rsidRPr="002968B3">
        <w:t>a</w:t>
      </w:r>
      <w:r w:rsidRPr="002968B3">
        <w:rPr>
          <w:spacing w:val="-2"/>
        </w:rPr>
        <w:t xml:space="preserve"> </w:t>
      </w:r>
      <w:r w:rsidRPr="002968B3">
        <w:t>legal</w:t>
      </w:r>
      <w:r w:rsidRPr="002968B3">
        <w:rPr>
          <w:spacing w:val="-6"/>
        </w:rPr>
        <w:t xml:space="preserve"> </w:t>
      </w:r>
      <w:r w:rsidRPr="002968B3">
        <w:t>right</w:t>
      </w:r>
      <w:r w:rsidRPr="002968B3">
        <w:rPr>
          <w:spacing w:val="-7"/>
        </w:rPr>
        <w:t xml:space="preserve"> </w:t>
      </w:r>
      <w:r w:rsidRPr="002968B3">
        <w:t>to</w:t>
      </w:r>
      <w:r w:rsidRPr="002968B3">
        <w:rPr>
          <w:spacing w:val="-5"/>
        </w:rPr>
        <w:t xml:space="preserve"> </w:t>
      </w:r>
      <w:r w:rsidRPr="002968B3">
        <w:t>do</w:t>
      </w:r>
      <w:r w:rsidRPr="002968B3">
        <w:rPr>
          <w:spacing w:val="-7"/>
        </w:rPr>
        <w:t xml:space="preserve"> </w:t>
      </w:r>
      <w:r w:rsidRPr="002968B3">
        <w:t>so),</w:t>
      </w:r>
      <w:r w:rsidRPr="002968B3">
        <w:rPr>
          <w:spacing w:val="-4"/>
        </w:rPr>
        <w:t xml:space="preserve"> </w:t>
      </w:r>
      <w:r w:rsidRPr="002968B3">
        <w:t>the</w:t>
      </w:r>
      <w:r w:rsidRPr="002968B3">
        <w:rPr>
          <w:spacing w:val="-8"/>
        </w:rPr>
        <w:t xml:space="preserve"> </w:t>
      </w:r>
      <w:r w:rsidRPr="002968B3">
        <w:t>net</w:t>
      </w:r>
      <w:r w:rsidRPr="002968B3">
        <w:rPr>
          <w:spacing w:val="-5"/>
        </w:rPr>
        <w:t xml:space="preserve"> </w:t>
      </w:r>
      <w:r w:rsidRPr="002968B3">
        <w:t>amount</w:t>
      </w:r>
      <w:r w:rsidRPr="002968B3">
        <w:rPr>
          <w:spacing w:val="-5"/>
        </w:rPr>
        <w:t xml:space="preserve"> </w:t>
      </w:r>
      <w:r w:rsidRPr="002968B3">
        <w:t>received</w:t>
      </w:r>
      <w:r w:rsidRPr="002968B3">
        <w:rPr>
          <w:spacing w:val="-7"/>
        </w:rPr>
        <w:t xml:space="preserve"> </w:t>
      </w:r>
      <w:r w:rsidRPr="002968B3">
        <w:t>should</w:t>
      </w:r>
      <w:r w:rsidRPr="002968B3">
        <w:rPr>
          <w:spacing w:val="-5"/>
        </w:rPr>
        <w:t xml:space="preserve"> </w:t>
      </w:r>
      <w:r w:rsidRPr="002968B3">
        <w:t>be</w:t>
      </w:r>
      <w:r w:rsidRPr="002968B3">
        <w:rPr>
          <w:spacing w:val="-5"/>
        </w:rPr>
        <w:t xml:space="preserve"> </w:t>
      </w:r>
      <w:r w:rsidRPr="002968B3">
        <w:t>shown</w:t>
      </w:r>
      <w:r w:rsidRPr="002968B3">
        <w:rPr>
          <w:spacing w:val="-5"/>
        </w:rPr>
        <w:t xml:space="preserve"> </w:t>
      </w:r>
      <w:r w:rsidRPr="002968B3">
        <w:t>in</w:t>
      </w:r>
      <w:r w:rsidRPr="002968B3">
        <w:rPr>
          <w:spacing w:val="-5"/>
        </w:rPr>
        <w:t xml:space="preserve"> </w:t>
      </w:r>
      <w:r w:rsidRPr="002968B3">
        <w:t>the</w:t>
      </w:r>
      <w:r w:rsidRPr="002968B3">
        <w:rPr>
          <w:spacing w:val="-6"/>
        </w:rPr>
        <w:t xml:space="preserve"> </w:t>
      </w:r>
      <w:r w:rsidRPr="002968B3">
        <w:t>account</w:t>
      </w:r>
      <w:r w:rsidRPr="002968B3">
        <w:rPr>
          <w:spacing w:val="-5"/>
        </w:rPr>
        <w:t xml:space="preserve"> </w:t>
      </w:r>
      <w:r w:rsidRPr="002968B3">
        <w:t xml:space="preserve">(even if “nil”) with the gross realisation(s), costs of realisation and the amount retained by the </w:t>
      </w:r>
      <w:proofErr w:type="spellStart"/>
      <w:r w:rsidRPr="002968B3">
        <w:t>chargeholder</w:t>
      </w:r>
      <w:proofErr w:type="spellEnd"/>
      <w:r w:rsidRPr="002968B3">
        <w:t xml:space="preserve"> shown separately by way of</w:t>
      </w:r>
      <w:r w:rsidRPr="002968B3">
        <w:rPr>
          <w:spacing w:val="3"/>
        </w:rPr>
        <w:t xml:space="preserve"> </w:t>
      </w:r>
      <w:r w:rsidRPr="002968B3">
        <w:t>note.</w:t>
      </w:r>
    </w:p>
    <w:p w:rsidR="003C08EC" w:rsidRPr="002968B3" w:rsidRDefault="003C08EC">
      <w:pPr>
        <w:pStyle w:val="BodyText"/>
        <w:rPr>
          <w:sz w:val="22"/>
          <w:szCs w:val="22"/>
        </w:rPr>
      </w:pPr>
    </w:p>
    <w:p w:rsidR="003C08EC" w:rsidRPr="002968B3" w:rsidRDefault="005842B5">
      <w:pPr>
        <w:pStyle w:val="Heading1"/>
        <w:rPr>
          <w:sz w:val="22"/>
          <w:szCs w:val="22"/>
        </w:rPr>
      </w:pPr>
      <w:r w:rsidRPr="002968B3">
        <w:rPr>
          <w:sz w:val="22"/>
          <w:szCs w:val="22"/>
        </w:rPr>
        <w:t>Payments</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ind w:right="767"/>
      </w:pPr>
      <w:r w:rsidRPr="002968B3">
        <w:t>Payments should be stated by category, distinguishing payments made under duress, in settlement of reservation of title claims, to secured creditors, and to preferential creditors and unsecured creditors as dividends. The dates and amounts of dividends (pence in the £) should also be</w:t>
      </w:r>
      <w:r w:rsidRPr="002968B3">
        <w:rPr>
          <w:spacing w:val="-3"/>
        </w:rPr>
        <w:t xml:space="preserve"> </w:t>
      </w:r>
      <w:r w:rsidRPr="002968B3">
        <w:t>stated.</w:t>
      </w:r>
    </w:p>
    <w:p w:rsidR="003C08EC" w:rsidRDefault="003C08EC">
      <w:pPr>
        <w:pStyle w:val="BodyText"/>
        <w:spacing w:before="11"/>
        <w:rPr>
          <w:sz w:val="22"/>
          <w:szCs w:val="22"/>
        </w:rPr>
      </w:pPr>
    </w:p>
    <w:p w:rsidR="000F220B" w:rsidRDefault="000F220B">
      <w:pPr>
        <w:pStyle w:val="BodyText"/>
        <w:spacing w:before="11"/>
        <w:rPr>
          <w:sz w:val="22"/>
          <w:szCs w:val="22"/>
        </w:rPr>
      </w:pPr>
    </w:p>
    <w:p w:rsidR="000F220B" w:rsidRDefault="000F220B">
      <w:pPr>
        <w:pStyle w:val="BodyText"/>
        <w:spacing w:before="11"/>
        <w:rPr>
          <w:sz w:val="22"/>
          <w:szCs w:val="22"/>
        </w:rPr>
      </w:pPr>
    </w:p>
    <w:p w:rsidR="00366B95" w:rsidRPr="002968B3" w:rsidRDefault="00366B95">
      <w:pPr>
        <w:pStyle w:val="BodyText"/>
        <w:spacing w:before="11"/>
        <w:rPr>
          <w:sz w:val="22"/>
          <w:szCs w:val="22"/>
        </w:rPr>
      </w:pPr>
      <w:bookmarkStart w:id="1" w:name="_GoBack"/>
      <w:bookmarkEnd w:id="1"/>
    </w:p>
    <w:p w:rsidR="003C08EC" w:rsidRPr="002968B3" w:rsidRDefault="005842B5">
      <w:pPr>
        <w:pStyle w:val="Heading1"/>
        <w:rPr>
          <w:sz w:val="22"/>
          <w:szCs w:val="22"/>
        </w:rPr>
      </w:pPr>
      <w:r w:rsidRPr="002968B3">
        <w:rPr>
          <w:sz w:val="22"/>
          <w:szCs w:val="22"/>
        </w:rPr>
        <w:t>Trading under office holder’s control</w:t>
      </w:r>
    </w:p>
    <w:p w:rsidR="003C08EC" w:rsidRPr="002968B3" w:rsidRDefault="003C08EC">
      <w:pPr>
        <w:pStyle w:val="BodyText"/>
        <w:spacing w:before="1"/>
        <w:rPr>
          <w:b/>
          <w:sz w:val="22"/>
          <w:szCs w:val="22"/>
        </w:rPr>
      </w:pPr>
    </w:p>
    <w:p w:rsidR="003C08EC" w:rsidRPr="002968B3" w:rsidRDefault="005842B5">
      <w:pPr>
        <w:pStyle w:val="ListParagraph"/>
        <w:numPr>
          <w:ilvl w:val="0"/>
          <w:numId w:val="1"/>
        </w:numPr>
        <w:tabs>
          <w:tab w:val="left" w:pos="539"/>
        </w:tabs>
        <w:ind w:right="763"/>
      </w:pPr>
      <w:r w:rsidRPr="002968B3">
        <w:t>A separate trading receipts and payments account should be provided to the creditors and other interested parties</w:t>
      </w:r>
      <w:r w:rsidRPr="002968B3">
        <w:rPr>
          <w:position w:val="6"/>
        </w:rPr>
        <w:t xml:space="preserve">1 </w:t>
      </w:r>
      <w:r w:rsidRPr="002968B3">
        <w:t>to enable an appropriate understanding of what was done, why it was done and</w:t>
      </w:r>
      <w:r w:rsidRPr="002968B3">
        <w:rPr>
          <w:spacing w:val="-3"/>
        </w:rPr>
        <w:t xml:space="preserve"> </w:t>
      </w:r>
      <w:r w:rsidRPr="002968B3">
        <w:t>how</w:t>
      </w:r>
      <w:r w:rsidRPr="002968B3">
        <w:rPr>
          <w:spacing w:val="-2"/>
        </w:rPr>
        <w:t xml:space="preserve"> </w:t>
      </w:r>
      <w:r w:rsidRPr="002968B3">
        <w:t>much</w:t>
      </w:r>
      <w:r w:rsidRPr="002968B3">
        <w:rPr>
          <w:spacing w:val="-3"/>
        </w:rPr>
        <w:t xml:space="preserve"> </w:t>
      </w:r>
      <w:r w:rsidRPr="002968B3">
        <w:t>it</w:t>
      </w:r>
      <w:r w:rsidRPr="002968B3">
        <w:rPr>
          <w:spacing w:val="-4"/>
        </w:rPr>
        <w:t xml:space="preserve"> </w:t>
      </w:r>
      <w:r w:rsidRPr="002968B3">
        <w:t>cost,</w:t>
      </w:r>
      <w:r w:rsidRPr="002968B3">
        <w:rPr>
          <w:spacing w:val="-5"/>
        </w:rPr>
        <w:t xml:space="preserve"> </w:t>
      </w:r>
      <w:r w:rsidRPr="002968B3">
        <w:t>and</w:t>
      </w:r>
      <w:r w:rsidRPr="002968B3">
        <w:rPr>
          <w:spacing w:val="-5"/>
        </w:rPr>
        <w:t xml:space="preserve"> </w:t>
      </w:r>
      <w:r w:rsidRPr="002968B3">
        <w:t>the</w:t>
      </w:r>
      <w:r w:rsidRPr="002968B3">
        <w:rPr>
          <w:spacing w:val="-6"/>
        </w:rPr>
        <w:t xml:space="preserve"> </w:t>
      </w:r>
      <w:r w:rsidRPr="002968B3">
        <w:t>balance</w:t>
      </w:r>
      <w:r w:rsidRPr="002968B3">
        <w:rPr>
          <w:spacing w:val="-5"/>
        </w:rPr>
        <w:t xml:space="preserve"> </w:t>
      </w:r>
      <w:r w:rsidRPr="002968B3">
        <w:t>should</w:t>
      </w:r>
      <w:r w:rsidRPr="002968B3">
        <w:rPr>
          <w:spacing w:val="-2"/>
        </w:rPr>
        <w:t xml:space="preserve"> </w:t>
      </w:r>
      <w:r w:rsidRPr="002968B3">
        <w:t>be</w:t>
      </w:r>
      <w:r w:rsidRPr="002968B3">
        <w:rPr>
          <w:spacing w:val="-6"/>
        </w:rPr>
        <w:t xml:space="preserve"> </w:t>
      </w:r>
      <w:r w:rsidRPr="002968B3">
        <w:t>shown</w:t>
      </w:r>
      <w:r w:rsidRPr="002968B3">
        <w:rPr>
          <w:spacing w:val="-5"/>
        </w:rPr>
        <w:t xml:space="preserve"> </w:t>
      </w:r>
      <w:r w:rsidRPr="002968B3">
        <w:t>as</w:t>
      </w:r>
      <w:r w:rsidRPr="002968B3">
        <w:rPr>
          <w:spacing w:val="-4"/>
        </w:rPr>
        <w:t xml:space="preserve"> </w:t>
      </w:r>
      <w:r w:rsidRPr="002968B3">
        <w:t>a</w:t>
      </w:r>
      <w:r w:rsidRPr="002968B3">
        <w:rPr>
          <w:spacing w:val="-5"/>
        </w:rPr>
        <w:t xml:space="preserve"> </w:t>
      </w:r>
      <w:r w:rsidRPr="002968B3">
        <w:t>single</w:t>
      </w:r>
      <w:r w:rsidRPr="002968B3">
        <w:rPr>
          <w:spacing w:val="-6"/>
        </w:rPr>
        <w:t xml:space="preserve"> </w:t>
      </w:r>
      <w:r w:rsidRPr="002968B3">
        <w:t>item</w:t>
      </w:r>
      <w:r w:rsidRPr="002968B3">
        <w:rPr>
          <w:spacing w:val="-3"/>
        </w:rPr>
        <w:t xml:space="preserve"> </w:t>
      </w:r>
      <w:r w:rsidRPr="002968B3">
        <w:t>in</w:t>
      </w:r>
      <w:r w:rsidRPr="002968B3">
        <w:rPr>
          <w:spacing w:val="-2"/>
        </w:rPr>
        <w:t xml:space="preserve"> </w:t>
      </w:r>
      <w:r w:rsidRPr="002968B3">
        <w:t>the</w:t>
      </w:r>
      <w:r w:rsidRPr="002968B3">
        <w:rPr>
          <w:spacing w:val="-3"/>
        </w:rPr>
        <w:t xml:space="preserve"> </w:t>
      </w:r>
      <w:r w:rsidRPr="002968B3">
        <w:t>main</w:t>
      </w:r>
      <w:r w:rsidRPr="002968B3">
        <w:rPr>
          <w:spacing w:val="-5"/>
        </w:rPr>
        <w:t xml:space="preserve"> </w:t>
      </w:r>
      <w:r w:rsidRPr="002968B3">
        <w:t>receipts</w:t>
      </w:r>
      <w:r w:rsidRPr="002968B3">
        <w:rPr>
          <w:spacing w:val="-4"/>
        </w:rPr>
        <w:t xml:space="preserve"> </w:t>
      </w:r>
      <w:r w:rsidRPr="002968B3">
        <w:t>and payments account. The office holder should also provide, by way of note or in the accompanying report, details</w:t>
      </w:r>
      <w:r w:rsidRPr="002968B3">
        <w:rPr>
          <w:spacing w:val="-1"/>
        </w:rPr>
        <w:t xml:space="preserve"> </w:t>
      </w:r>
      <w:r w:rsidRPr="002968B3">
        <w:t>of:</w:t>
      </w:r>
    </w:p>
    <w:p w:rsidR="003C08EC" w:rsidRPr="002968B3" w:rsidRDefault="003C08EC">
      <w:pPr>
        <w:pStyle w:val="BodyText"/>
        <w:rPr>
          <w:sz w:val="22"/>
          <w:szCs w:val="22"/>
        </w:rPr>
      </w:pPr>
    </w:p>
    <w:p w:rsidR="003C08EC" w:rsidRPr="002968B3" w:rsidRDefault="005842B5">
      <w:pPr>
        <w:pStyle w:val="ListParagraph"/>
        <w:numPr>
          <w:ilvl w:val="1"/>
          <w:numId w:val="1"/>
        </w:numPr>
        <w:tabs>
          <w:tab w:val="left" w:pos="1258"/>
        </w:tabs>
        <w:ind w:left="1258" w:right="767"/>
      </w:pPr>
      <w:r w:rsidRPr="002968B3">
        <w:t>The assets in existence upon appointment (e.g. stock and work in progress) that have been used in</w:t>
      </w:r>
      <w:r w:rsidRPr="002968B3">
        <w:rPr>
          <w:spacing w:val="3"/>
        </w:rPr>
        <w:t xml:space="preserve"> </w:t>
      </w:r>
      <w:r w:rsidRPr="002968B3">
        <w:t>trading.</w:t>
      </w:r>
    </w:p>
    <w:p w:rsidR="003C08EC" w:rsidRPr="002968B3" w:rsidRDefault="003C08EC">
      <w:pPr>
        <w:pStyle w:val="BodyText"/>
        <w:spacing w:before="11"/>
        <w:rPr>
          <w:sz w:val="22"/>
          <w:szCs w:val="22"/>
        </w:rPr>
      </w:pPr>
    </w:p>
    <w:p w:rsidR="003C08EC" w:rsidRPr="002968B3" w:rsidRDefault="005842B5">
      <w:pPr>
        <w:pStyle w:val="ListParagraph"/>
        <w:numPr>
          <w:ilvl w:val="1"/>
          <w:numId w:val="1"/>
        </w:numPr>
        <w:tabs>
          <w:tab w:val="left" w:pos="1258"/>
        </w:tabs>
        <w:ind w:left="1258"/>
      </w:pPr>
      <w:r w:rsidRPr="002968B3">
        <w:t>Any uncollected debts and unpaid liabilities in respect of</w:t>
      </w:r>
      <w:r w:rsidRPr="002968B3">
        <w:rPr>
          <w:spacing w:val="5"/>
        </w:rPr>
        <w:t xml:space="preserve"> </w:t>
      </w:r>
      <w:r w:rsidRPr="002968B3">
        <w:t>trading.</w:t>
      </w:r>
    </w:p>
    <w:p w:rsidR="003C08EC" w:rsidRPr="002968B3" w:rsidRDefault="003C08EC">
      <w:pPr>
        <w:pStyle w:val="BodyText"/>
        <w:rPr>
          <w:sz w:val="22"/>
          <w:szCs w:val="22"/>
        </w:rPr>
      </w:pPr>
    </w:p>
    <w:p w:rsidR="003C08EC" w:rsidRPr="002968B3" w:rsidRDefault="005842B5">
      <w:pPr>
        <w:pStyle w:val="ListParagraph"/>
        <w:numPr>
          <w:ilvl w:val="1"/>
          <w:numId w:val="1"/>
        </w:numPr>
        <w:tabs>
          <w:tab w:val="left" w:pos="1258"/>
        </w:tabs>
        <w:spacing w:before="1"/>
        <w:ind w:left="1258"/>
      </w:pPr>
      <w:r w:rsidRPr="002968B3">
        <w:t>Trading assets (e.g. stock and work in progress) still to be</w:t>
      </w:r>
      <w:r w:rsidRPr="002968B3">
        <w:rPr>
          <w:spacing w:val="-4"/>
        </w:rPr>
        <w:t xml:space="preserve"> </w:t>
      </w:r>
      <w:r w:rsidRPr="002968B3">
        <w:t>realised.</w:t>
      </w:r>
    </w:p>
    <w:p w:rsidR="003C08EC" w:rsidRPr="002968B3" w:rsidRDefault="003C08EC">
      <w:pPr>
        <w:pStyle w:val="BodyText"/>
        <w:rPr>
          <w:sz w:val="22"/>
          <w:szCs w:val="22"/>
        </w:rPr>
      </w:pPr>
    </w:p>
    <w:p w:rsidR="003C08EC" w:rsidRPr="002968B3" w:rsidRDefault="005842B5">
      <w:pPr>
        <w:pStyle w:val="Heading1"/>
        <w:rPr>
          <w:sz w:val="22"/>
          <w:szCs w:val="22"/>
        </w:rPr>
      </w:pPr>
      <w:r w:rsidRPr="002968B3">
        <w:rPr>
          <w:sz w:val="22"/>
          <w:szCs w:val="22"/>
        </w:rPr>
        <w:t>Alternative approaches to asset realisation</w:t>
      </w:r>
    </w:p>
    <w:p w:rsidR="003C08EC" w:rsidRPr="002968B3" w:rsidRDefault="003C08EC">
      <w:pPr>
        <w:pStyle w:val="BodyText"/>
        <w:spacing w:before="10"/>
        <w:rPr>
          <w:b/>
          <w:sz w:val="22"/>
          <w:szCs w:val="22"/>
        </w:rPr>
      </w:pPr>
    </w:p>
    <w:p w:rsidR="003C08EC" w:rsidRPr="002968B3" w:rsidRDefault="005842B5">
      <w:pPr>
        <w:pStyle w:val="ListParagraph"/>
        <w:numPr>
          <w:ilvl w:val="0"/>
          <w:numId w:val="1"/>
        </w:numPr>
        <w:tabs>
          <w:tab w:val="left" w:pos="539"/>
        </w:tabs>
        <w:ind w:right="758"/>
      </w:pPr>
      <w:r w:rsidRPr="002968B3">
        <w:t>From</w:t>
      </w:r>
      <w:r w:rsidRPr="002968B3">
        <w:rPr>
          <w:spacing w:val="-13"/>
        </w:rPr>
        <w:t xml:space="preserve"> </w:t>
      </w:r>
      <w:r w:rsidRPr="002968B3">
        <w:t>time</w:t>
      </w:r>
      <w:r w:rsidRPr="002968B3">
        <w:rPr>
          <w:spacing w:val="-12"/>
        </w:rPr>
        <w:t xml:space="preserve"> </w:t>
      </w:r>
      <w:r w:rsidRPr="002968B3">
        <w:t>to</w:t>
      </w:r>
      <w:r w:rsidRPr="002968B3">
        <w:rPr>
          <w:spacing w:val="-13"/>
        </w:rPr>
        <w:t xml:space="preserve"> </w:t>
      </w:r>
      <w:r w:rsidRPr="002968B3">
        <w:t>time</w:t>
      </w:r>
      <w:r w:rsidRPr="002968B3">
        <w:rPr>
          <w:spacing w:val="-12"/>
        </w:rPr>
        <w:t xml:space="preserve"> </w:t>
      </w:r>
      <w:r w:rsidRPr="002968B3">
        <w:t>the</w:t>
      </w:r>
      <w:r w:rsidRPr="002968B3">
        <w:rPr>
          <w:spacing w:val="-11"/>
        </w:rPr>
        <w:t xml:space="preserve"> </w:t>
      </w:r>
      <w:r w:rsidRPr="002968B3">
        <w:t>office</w:t>
      </w:r>
      <w:r w:rsidRPr="002968B3">
        <w:rPr>
          <w:spacing w:val="-9"/>
        </w:rPr>
        <w:t xml:space="preserve"> </w:t>
      </w:r>
      <w:r w:rsidRPr="002968B3">
        <w:t>holder</w:t>
      </w:r>
      <w:r w:rsidRPr="002968B3">
        <w:rPr>
          <w:spacing w:val="-12"/>
        </w:rPr>
        <w:t xml:space="preserve"> </w:t>
      </w:r>
      <w:r w:rsidRPr="002968B3">
        <w:t>may</w:t>
      </w:r>
      <w:r w:rsidRPr="002968B3">
        <w:rPr>
          <w:spacing w:val="-11"/>
        </w:rPr>
        <w:t xml:space="preserve"> </w:t>
      </w:r>
      <w:r w:rsidRPr="002968B3">
        <w:t>adopt</w:t>
      </w:r>
      <w:r w:rsidRPr="002968B3">
        <w:rPr>
          <w:spacing w:val="-13"/>
        </w:rPr>
        <w:t xml:space="preserve"> </w:t>
      </w:r>
      <w:r w:rsidRPr="002968B3">
        <w:t>an</w:t>
      </w:r>
      <w:r w:rsidRPr="002968B3">
        <w:rPr>
          <w:spacing w:val="-12"/>
        </w:rPr>
        <w:t xml:space="preserve"> </w:t>
      </w:r>
      <w:r w:rsidRPr="002968B3">
        <w:t>alternative</w:t>
      </w:r>
      <w:r w:rsidRPr="002968B3">
        <w:rPr>
          <w:spacing w:val="-13"/>
        </w:rPr>
        <w:t xml:space="preserve"> </w:t>
      </w:r>
      <w:r w:rsidRPr="002968B3">
        <w:t>method</w:t>
      </w:r>
      <w:r w:rsidRPr="002968B3">
        <w:rPr>
          <w:spacing w:val="-12"/>
        </w:rPr>
        <w:t xml:space="preserve"> </w:t>
      </w:r>
      <w:r w:rsidRPr="002968B3">
        <w:t>of</w:t>
      </w:r>
      <w:r w:rsidRPr="002968B3">
        <w:rPr>
          <w:spacing w:val="-11"/>
        </w:rPr>
        <w:t xml:space="preserve"> </w:t>
      </w:r>
      <w:r w:rsidRPr="002968B3">
        <w:t>asset</w:t>
      </w:r>
      <w:r w:rsidRPr="002968B3">
        <w:rPr>
          <w:spacing w:val="-12"/>
        </w:rPr>
        <w:t xml:space="preserve"> </w:t>
      </w:r>
      <w:r w:rsidRPr="002968B3">
        <w:t>realisation.</w:t>
      </w:r>
      <w:r w:rsidRPr="002968B3">
        <w:rPr>
          <w:spacing w:val="-10"/>
        </w:rPr>
        <w:t xml:space="preserve"> </w:t>
      </w:r>
      <w:r w:rsidRPr="002968B3">
        <w:t>Whatever alternative method is adopted, the requirements of this statement still apply; creditors and other interested parties</w:t>
      </w:r>
      <w:hyperlink w:anchor="_bookmark0" w:history="1">
        <w:r w:rsidRPr="002968B3">
          <w:rPr>
            <w:position w:val="6"/>
          </w:rPr>
          <w:t>1</w:t>
        </w:r>
      </w:hyperlink>
      <w:r w:rsidRPr="002968B3">
        <w:rPr>
          <w:position w:val="6"/>
        </w:rPr>
        <w:t xml:space="preserve"> </w:t>
      </w:r>
      <w:r w:rsidRPr="002968B3">
        <w:t>should be provided with sufficient information to enable an appropriate understanding of what was done, why it was done and how much it cost. For example, funds received from a hive-down company as consideration for the sale of the business or its assets should be shown in the account classified according to the categories of assets transferred and apportioned as provided for in the hive-down agreement. The proceeds of sale of the shares in the</w:t>
      </w:r>
      <w:r w:rsidRPr="002968B3">
        <w:rPr>
          <w:spacing w:val="-3"/>
        </w:rPr>
        <w:t xml:space="preserve"> </w:t>
      </w:r>
      <w:r w:rsidRPr="002968B3">
        <w:t>hive-down</w:t>
      </w:r>
      <w:r w:rsidRPr="002968B3">
        <w:rPr>
          <w:spacing w:val="-5"/>
        </w:rPr>
        <w:t xml:space="preserve"> </w:t>
      </w:r>
      <w:r w:rsidRPr="002968B3">
        <w:t>company</w:t>
      </w:r>
      <w:r w:rsidRPr="002968B3">
        <w:rPr>
          <w:spacing w:val="-3"/>
        </w:rPr>
        <w:t xml:space="preserve"> </w:t>
      </w:r>
      <w:r w:rsidRPr="002968B3">
        <w:t>should</w:t>
      </w:r>
      <w:r w:rsidRPr="002968B3">
        <w:rPr>
          <w:spacing w:val="-5"/>
        </w:rPr>
        <w:t xml:space="preserve"> </w:t>
      </w:r>
      <w:r w:rsidRPr="002968B3">
        <w:t>be</w:t>
      </w:r>
      <w:r w:rsidRPr="002968B3">
        <w:rPr>
          <w:spacing w:val="-6"/>
        </w:rPr>
        <w:t xml:space="preserve"> </w:t>
      </w:r>
      <w:r w:rsidRPr="002968B3">
        <w:t>shown</w:t>
      </w:r>
      <w:r w:rsidRPr="002968B3">
        <w:rPr>
          <w:spacing w:val="-4"/>
        </w:rPr>
        <w:t xml:space="preserve"> </w:t>
      </w:r>
      <w:r w:rsidRPr="002968B3">
        <w:t>separately.</w:t>
      </w:r>
      <w:r w:rsidRPr="002968B3">
        <w:rPr>
          <w:spacing w:val="-2"/>
        </w:rPr>
        <w:t xml:space="preserve"> </w:t>
      </w:r>
      <w:r w:rsidRPr="002968B3">
        <w:t>Funds</w:t>
      </w:r>
      <w:r w:rsidRPr="002968B3">
        <w:rPr>
          <w:spacing w:val="-3"/>
        </w:rPr>
        <w:t xml:space="preserve"> </w:t>
      </w:r>
      <w:r w:rsidRPr="002968B3">
        <w:t>received</w:t>
      </w:r>
      <w:r w:rsidRPr="002968B3">
        <w:rPr>
          <w:spacing w:val="-3"/>
        </w:rPr>
        <w:t xml:space="preserve"> </w:t>
      </w:r>
      <w:r w:rsidRPr="002968B3">
        <w:t>in</w:t>
      </w:r>
      <w:r w:rsidRPr="002968B3">
        <w:rPr>
          <w:spacing w:val="-2"/>
        </w:rPr>
        <w:t xml:space="preserve"> </w:t>
      </w:r>
      <w:r w:rsidRPr="002968B3">
        <w:t>respect</w:t>
      </w:r>
      <w:r w:rsidRPr="002968B3">
        <w:rPr>
          <w:spacing w:val="-2"/>
        </w:rPr>
        <w:t xml:space="preserve"> </w:t>
      </w:r>
      <w:r w:rsidRPr="002968B3">
        <w:t>of</w:t>
      </w:r>
      <w:r w:rsidRPr="002968B3">
        <w:rPr>
          <w:spacing w:val="-4"/>
        </w:rPr>
        <w:t xml:space="preserve"> </w:t>
      </w:r>
      <w:r w:rsidRPr="002968B3">
        <w:t>the</w:t>
      </w:r>
      <w:r w:rsidRPr="002968B3">
        <w:rPr>
          <w:spacing w:val="-4"/>
        </w:rPr>
        <w:t xml:space="preserve"> </w:t>
      </w:r>
      <w:r w:rsidRPr="002968B3">
        <w:t>hive-down company should not be shown simply as the proceeds of sale of the hive-down</w:t>
      </w:r>
      <w:r w:rsidRPr="002968B3">
        <w:rPr>
          <w:spacing w:val="-13"/>
        </w:rPr>
        <w:t xml:space="preserve"> </w:t>
      </w:r>
      <w:r w:rsidRPr="002968B3">
        <w:t>company.</w:t>
      </w:r>
    </w:p>
    <w:p w:rsidR="003C08EC" w:rsidRPr="002968B3" w:rsidRDefault="003C08EC">
      <w:pPr>
        <w:pStyle w:val="BodyText"/>
        <w:rPr>
          <w:sz w:val="22"/>
          <w:szCs w:val="22"/>
        </w:rPr>
      </w:pPr>
    </w:p>
    <w:p w:rsidR="003C08EC" w:rsidRPr="002968B3" w:rsidRDefault="005842B5">
      <w:pPr>
        <w:pStyle w:val="ListParagraph"/>
        <w:numPr>
          <w:ilvl w:val="0"/>
          <w:numId w:val="1"/>
        </w:numPr>
        <w:tabs>
          <w:tab w:val="left" w:pos="539"/>
        </w:tabs>
        <w:ind w:right="761"/>
      </w:pPr>
      <w:r w:rsidRPr="002968B3">
        <w:t>A trading account for a hive-down company should be prepared adopting the same principles as set out above, as should trading accounts for other alternative</w:t>
      </w:r>
      <w:r w:rsidRPr="002968B3">
        <w:rPr>
          <w:spacing w:val="-2"/>
        </w:rPr>
        <w:t xml:space="preserve"> </w:t>
      </w:r>
      <w:r w:rsidRPr="002968B3">
        <w:t>approaches.</w:t>
      </w:r>
    </w:p>
    <w:p w:rsidR="003C08EC" w:rsidRPr="002968B3" w:rsidRDefault="003C08EC">
      <w:pPr>
        <w:pStyle w:val="BodyText"/>
        <w:spacing w:before="1"/>
        <w:rPr>
          <w:sz w:val="22"/>
          <w:szCs w:val="22"/>
        </w:rPr>
      </w:pPr>
    </w:p>
    <w:p w:rsidR="003C08EC" w:rsidRPr="002968B3" w:rsidRDefault="005842B5">
      <w:pPr>
        <w:pStyle w:val="Heading1"/>
        <w:spacing w:before="1"/>
        <w:rPr>
          <w:sz w:val="22"/>
          <w:szCs w:val="22"/>
        </w:rPr>
      </w:pPr>
      <w:r w:rsidRPr="002968B3">
        <w:rPr>
          <w:sz w:val="22"/>
          <w:szCs w:val="22"/>
        </w:rPr>
        <w:t>Third party funds</w:t>
      </w:r>
    </w:p>
    <w:p w:rsidR="003C08EC" w:rsidRPr="002968B3" w:rsidRDefault="003C08EC">
      <w:pPr>
        <w:pStyle w:val="BodyText"/>
        <w:rPr>
          <w:b/>
          <w:sz w:val="22"/>
          <w:szCs w:val="22"/>
        </w:rPr>
      </w:pPr>
    </w:p>
    <w:p w:rsidR="003C08EC" w:rsidRPr="002968B3" w:rsidRDefault="005842B5">
      <w:pPr>
        <w:pStyle w:val="ListParagraph"/>
        <w:numPr>
          <w:ilvl w:val="0"/>
          <w:numId w:val="1"/>
        </w:numPr>
        <w:tabs>
          <w:tab w:val="left" w:pos="539"/>
        </w:tabs>
        <w:ind w:right="768"/>
      </w:pPr>
      <w:r w:rsidRPr="002968B3">
        <w:t>Where any monies are held which do not form part of the estate and are due to be paid to third parties, the amount should be disclosed, together with any agreed fee charged to the person entitled to the</w:t>
      </w:r>
      <w:r w:rsidRPr="002968B3">
        <w:rPr>
          <w:spacing w:val="1"/>
        </w:rPr>
        <w:t xml:space="preserve"> </w:t>
      </w:r>
      <w:r w:rsidRPr="002968B3">
        <w:t>monies.</w:t>
      </w:r>
    </w:p>
    <w:p w:rsidR="003C08EC" w:rsidRPr="002968B3" w:rsidRDefault="003C08EC">
      <w:pPr>
        <w:pStyle w:val="BodyText"/>
        <w:rPr>
          <w:sz w:val="22"/>
          <w:szCs w:val="22"/>
        </w:rPr>
      </w:pPr>
    </w:p>
    <w:p w:rsidR="003C08EC" w:rsidRPr="002968B3" w:rsidRDefault="005842B5">
      <w:pPr>
        <w:pStyle w:val="Heading1"/>
        <w:rPr>
          <w:sz w:val="22"/>
          <w:szCs w:val="22"/>
        </w:rPr>
      </w:pPr>
      <w:r w:rsidRPr="002968B3">
        <w:rPr>
          <w:sz w:val="22"/>
          <w:szCs w:val="22"/>
        </w:rPr>
        <w:t>Effective Date: 1 April 2021</w:t>
      </w:r>
    </w:p>
    <w:sectPr w:rsidR="003C08EC" w:rsidRPr="002968B3">
      <w:headerReference w:type="default" r:id="rId7"/>
      <w:footerReference w:type="default" r:id="rId8"/>
      <w:pgSz w:w="11910" w:h="16840"/>
      <w:pgMar w:top="1660" w:right="1040" w:bottom="1200" w:left="1020" w:header="355" w:footer="1008"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FC" w:rsidRDefault="005842B5">
      <w:r>
        <w:separator/>
      </w:r>
    </w:p>
  </w:endnote>
  <w:endnote w:type="continuationSeparator" w:id="0">
    <w:p w:rsidR="00990AFC" w:rsidRDefault="0058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5026"/>
    </w:tblGrid>
    <w:tr w:rsidR="005842B5" w:rsidTr="00AD4C3A">
      <w:tc>
        <w:tcPr>
          <w:tcW w:w="4622" w:type="dxa"/>
        </w:tcPr>
        <w:p w:rsidR="005842B5" w:rsidRDefault="005842B5" w:rsidP="005842B5">
          <w:pPr>
            <w:pStyle w:val="Footer"/>
            <w:rPr>
              <w:sz w:val="10"/>
            </w:rPr>
          </w:pPr>
        </w:p>
        <w:p w:rsidR="005842B5" w:rsidRDefault="005842B5" w:rsidP="005842B5">
          <w:pPr>
            <w:pStyle w:val="Footer"/>
            <w:rPr>
              <w:sz w:val="10"/>
            </w:rPr>
          </w:pPr>
        </w:p>
        <w:p w:rsidR="005842B5" w:rsidRDefault="005842B5" w:rsidP="005842B5">
          <w:pPr>
            <w:pStyle w:val="Footer"/>
            <w:rPr>
              <w:sz w:val="10"/>
            </w:rPr>
          </w:pPr>
        </w:p>
        <w:p w:rsidR="005842B5" w:rsidRDefault="005842B5" w:rsidP="005842B5">
          <w:pPr>
            <w:pStyle w:val="Footer"/>
            <w:rPr>
              <w:sz w:val="10"/>
            </w:rPr>
          </w:pPr>
        </w:p>
        <w:p w:rsidR="005842B5" w:rsidRDefault="005842B5" w:rsidP="005842B5">
          <w:pPr>
            <w:pStyle w:val="Footer"/>
            <w:rPr>
              <w:sz w:val="10"/>
            </w:rPr>
          </w:pPr>
        </w:p>
        <w:p w:rsidR="005842B5" w:rsidRDefault="005842B5" w:rsidP="005842B5">
          <w:pPr>
            <w:pStyle w:val="Footer"/>
            <w:rPr>
              <w:sz w:val="10"/>
            </w:rPr>
          </w:pPr>
        </w:p>
        <w:p w:rsidR="005842B5" w:rsidRDefault="005842B5" w:rsidP="005842B5">
          <w:pPr>
            <w:pStyle w:val="Footer"/>
            <w:rPr>
              <w:sz w:val="10"/>
            </w:rPr>
          </w:pPr>
        </w:p>
      </w:tc>
      <w:tc>
        <w:tcPr>
          <w:tcW w:w="5026" w:type="dxa"/>
        </w:tcPr>
        <w:p w:rsidR="005842B5" w:rsidRDefault="005842B5" w:rsidP="005842B5">
          <w:pPr>
            <w:pStyle w:val="Footer"/>
            <w:jc w:val="right"/>
          </w:pPr>
          <w:r>
            <w:rPr>
              <w:noProof/>
              <w:lang w:bidi="ar-SA"/>
            </w:rPr>
            <w:drawing>
              <wp:inline distT="0" distB="0" distL="0" distR="0" wp14:anchorId="5775FE78" wp14:editId="64B018CF">
                <wp:extent cx="933449" cy="4667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2016_rebrand_logo_main_small.jpg"/>
                        <pic:cNvPicPr/>
                      </pic:nvPicPr>
                      <pic:blipFill>
                        <a:blip r:embed="rId1">
                          <a:extLst>
                            <a:ext uri="{28A0092B-C50C-407E-A947-70E740481C1C}">
                              <a14:useLocalDpi xmlns:a14="http://schemas.microsoft.com/office/drawing/2010/main" val="0"/>
                            </a:ext>
                          </a:extLst>
                        </a:blip>
                        <a:stretch>
                          <a:fillRect/>
                        </a:stretch>
                      </pic:blipFill>
                      <pic:spPr>
                        <a:xfrm>
                          <a:off x="0" y="0"/>
                          <a:ext cx="935394" cy="467698"/>
                        </a:xfrm>
                        <a:prstGeom prst="rect">
                          <a:avLst/>
                        </a:prstGeom>
                      </pic:spPr>
                    </pic:pic>
                  </a:graphicData>
                </a:graphic>
              </wp:inline>
            </w:drawing>
          </w:r>
        </w:p>
      </w:tc>
    </w:tr>
  </w:tbl>
  <w:p w:rsidR="003C08EC" w:rsidRPr="00AD6DBF" w:rsidRDefault="003C08EC" w:rsidP="00AD6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FC" w:rsidRDefault="005842B5">
      <w:r>
        <w:separator/>
      </w:r>
    </w:p>
  </w:footnote>
  <w:footnote w:type="continuationSeparator" w:id="0">
    <w:p w:rsidR="00990AFC" w:rsidRDefault="0058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EC" w:rsidRDefault="00366B95">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55.65pt;margin-top:70.25pt;width:258.15pt;height:13.15pt;z-index:-251658752;mso-position-horizontal-relative:page;mso-position-vertical-relative:page" filled="f" stroked="f">
          <v:textbox inset="0,0,0,0">
            <w:txbxContent>
              <w:p w:rsidR="003C08EC" w:rsidRPr="00AD6DBF" w:rsidRDefault="000F220B">
                <w:pPr>
                  <w:spacing w:before="12"/>
                  <w:ind w:left="20"/>
                  <w:rPr>
                    <w:b/>
                  </w:rPr>
                </w:pPr>
                <w:r>
                  <w:rPr>
                    <w:b/>
                  </w:rPr>
                  <w:t>STATEMENT OF INSOLVENCY PRACTICE 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615"/>
    <w:multiLevelType w:val="hybridMultilevel"/>
    <w:tmpl w:val="B4B2C990"/>
    <w:lvl w:ilvl="0" w:tplc="48BCCF10">
      <w:start w:val="1"/>
      <w:numFmt w:val="decimal"/>
      <w:lvlText w:val="%1."/>
      <w:lvlJc w:val="left"/>
      <w:pPr>
        <w:ind w:left="538" w:hanging="426"/>
      </w:pPr>
      <w:rPr>
        <w:rFonts w:ascii="Arial" w:eastAsia="Arial" w:hAnsi="Arial" w:cs="Arial" w:hint="default"/>
        <w:spacing w:val="-1"/>
        <w:w w:val="99"/>
        <w:sz w:val="20"/>
        <w:szCs w:val="20"/>
        <w:lang w:val="en-GB" w:eastAsia="en-GB" w:bidi="en-GB"/>
      </w:rPr>
    </w:lvl>
    <w:lvl w:ilvl="1" w:tplc="0F1E6320">
      <w:start w:val="1"/>
      <w:numFmt w:val="lowerLetter"/>
      <w:lvlText w:val="%2)"/>
      <w:lvlJc w:val="left"/>
      <w:pPr>
        <w:ind w:left="833" w:hanging="360"/>
      </w:pPr>
      <w:rPr>
        <w:rFonts w:ascii="Arial" w:eastAsia="Arial" w:hAnsi="Arial" w:cs="Arial" w:hint="default"/>
        <w:spacing w:val="-1"/>
        <w:w w:val="99"/>
        <w:sz w:val="20"/>
        <w:szCs w:val="20"/>
        <w:lang w:val="en-GB" w:eastAsia="en-GB" w:bidi="en-GB"/>
      </w:rPr>
    </w:lvl>
    <w:lvl w:ilvl="2" w:tplc="232CA7A4">
      <w:numFmt w:val="bullet"/>
      <w:lvlText w:val="•"/>
      <w:lvlJc w:val="left"/>
      <w:pPr>
        <w:ind w:left="1260" w:hanging="360"/>
      </w:pPr>
      <w:rPr>
        <w:rFonts w:hint="default"/>
        <w:lang w:val="en-GB" w:eastAsia="en-GB" w:bidi="en-GB"/>
      </w:rPr>
    </w:lvl>
    <w:lvl w:ilvl="3" w:tplc="AE708A08">
      <w:numFmt w:val="bullet"/>
      <w:lvlText w:val="•"/>
      <w:lvlJc w:val="left"/>
      <w:pPr>
        <w:ind w:left="2333" w:hanging="360"/>
      </w:pPr>
      <w:rPr>
        <w:rFonts w:hint="default"/>
        <w:lang w:val="en-GB" w:eastAsia="en-GB" w:bidi="en-GB"/>
      </w:rPr>
    </w:lvl>
    <w:lvl w:ilvl="4" w:tplc="F7505EAA">
      <w:numFmt w:val="bullet"/>
      <w:lvlText w:val="•"/>
      <w:lvlJc w:val="left"/>
      <w:pPr>
        <w:ind w:left="3406" w:hanging="360"/>
      </w:pPr>
      <w:rPr>
        <w:rFonts w:hint="default"/>
        <w:lang w:val="en-GB" w:eastAsia="en-GB" w:bidi="en-GB"/>
      </w:rPr>
    </w:lvl>
    <w:lvl w:ilvl="5" w:tplc="3E1E52C6">
      <w:numFmt w:val="bullet"/>
      <w:lvlText w:val="•"/>
      <w:lvlJc w:val="left"/>
      <w:pPr>
        <w:ind w:left="4479" w:hanging="360"/>
      </w:pPr>
      <w:rPr>
        <w:rFonts w:hint="default"/>
        <w:lang w:val="en-GB" w:eastAsia="en-GB" w:bidi="en-GB"/>
      </w:rPr>
    </w:lvl>
    <w:lvl w:ilvl="6" w:tplc="05D4F38C">
      <w:numFmt w:val="bullet"/>
      <w:lvlText w:val="•"/>
      <w:lvlJc w:val="left"/>
      <w:pPr>
        <w:ind w:left="5553" w:hanging="360"/>
      </w:pPr>
      <w:rPr>
        <w:rFonts w:hint="default"/>
        <w:lang w:val="en-GB" w:eastAsia="en-GB" w:bidi="en-GB"/>
      </w:rPr>
    </w:lvl>
    <w:lvl w:ilvl="7" w:tplc="E24280A8">
      <w:numFmt w:val="bullet"/>
      <w:lvlText w:val="•"/>
      <w:lvlJc w:val="left"/>
      <w:pPr>
        <w:ind w:left="6626" w:hanging="360"/>
      </w:pPr>
      <w:rPr>
        <w:rFonts w:hint="default"/>
        <w:lang w:val="en-GB" w:eastAsia="en-GB" w:bidi="en-GB"/>
      </w:rPr>
    </w:lvl>
    <w:lvl w:ilvl="8" w:tplc="36943DB2">
      <w:numFmt w:val="bullet"/>
      <w:lvlText w:val="•"/>
      <w:lvlJc w:val="left"/>
      <w:pPr>
        <w:ind w:left="769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C08EC"/>
    <w:rsid w:val="000F220B"/>
    <w:rsid w:val="002968B3"/>
    <w:rsid w:val="00366B95"/>
    <w:rsid w:val="003C08EC"/>
    <w:rsid w:val="0057759D"/>
    <w:rsid w:val="005842B5"/>
    <w:rsid w:val="00990AFC"/>
    <w:rsid w:val="00AD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0AFDDA-4748-4789-93A6-6088C69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8"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8B3"/>
    <w:pPr>
      <w:tabs>
        <w:tab w:val="center" w:pos="4513"/>
        <w:tab w:val="right" w:pos="9026"/>
      </w:tabs>
    </w:pPr>
  </w:style>
  <w:style w:type="character" w:customStyle="1" w:styleId="HeaderChar">
    <w:name w:val="Header Char"/>
    <w:basedOn w:val="DefaultParagraphFont"/>
    <w:link w:val="Header"/>
    <w:uiPriority w:val="99"/>
    <w:rsid w:val="002968B3"/>
    <w:rPr>
      <w:rFonts w:ascii="Arial" w:eastAsia="Arial" w:hAnsi="Arial" w:cs="Arial"/>
      <w:lang w:val="en-GB" w:eastAsia="en-GB" w:bidi="en-GB"/>
    </w:rPr>
  </w:style>
  <w:style w:type="paragraph" w:styleId="Footer">
    <w:name w:val="footer"/>
    <w:basedOn w:val="Normal"/>
    <w:link w:val="FooterChar"/>
    <w:unhideWhenUsed/>
    <w:rsid w:val="002968B3"/>
    <w:pPr>
      <w:tabs>
        <w:tab w:val="center" w:pos="4513"/>
        <w:tab w:val="right" w:pos="9026"/>
      </w:tabs>
    </w:pPr>
  </w:style>
  <w:style w:type="character" w:customStyle="1" w:styleId="FooterChar">
    <w:name w:val="Footer Char"/>
    <w:basedOn w:val="DefaultParagraphFont"/>
    <w:link w:val="Footer"/>
    <w:rsid w:val="002968B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584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B5"/>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2E6FB7C3</Template>
  <TotalTime>11</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STATEMENT OF INSOLVENCY PRACTICE</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INSOLVENCY PRACTICE</dc:title>
  <dc:creator>Tracy Stanhope</dc:creator>
  <cp:lastModifiedBy>Donna Bain</cp:lastModifiedBy>
  <cp:revision>4</cp:revision>
  <cp:lastPrinted>2021-04-06T09:13:00Z</cp:lastPrinted>
  <dcterms:created xsi:type="dcterms:W3CDTF">2021-03-31T14:11:00Z</dcterms:created>
  <dcterms:modified xsi:type="dcterms:W3CDTF">2021-04-06T09:13:00Z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2021-03-31T00:00:00Z</vt:filetime>
  </property>
</Properties>
</file>